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311018970"/>
        <w:docPartObj>
          <w:docPartGallery w:val="Cover Pages"/>
          <w:docPartUnique/>
        </w:docPartObj>
      </w:sdtPr>
      <w:sdtEndPr>
        <w:rPr>
          <w:b/>
          <w:bCs/>
          <w:u w:val="single"/>
        </w:rPr>
      </w:sdtEndPr>
      <w:sdtContent>
        <w:p w14:paraId="4876E62A" w14:textId="30E25AA2" w:rsidR="003B1D4A" w:rsidRDefault="003B1D4A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19FC141" wp14:editId="38C5997B">
                    <wp:simplePos x="0" y="0"/>
                    <mc:AlternateContent>
                      <mc:Choice Requires="wp14">
                        <wp:positionH relativeFrom="page">
                          <wp14:pctPosHOffset>2000</wp14:pctPosHOffset>
                        </wp:positionH>
                      </mc:Choice>
                      <mc:Fallback>
                        <wp:positionH relativeFrom="page">
                          <wp:posOffset>154940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2000</wp14:pctPosVOffset>
                        </wp:positionV>
                      </mc:Choice>
                      <mc:Fallback>
                        <wp:positionV relativeFrom="page">
                          <wp:posOffset>200660</wp:posOffset>
                        </wp:positionV>
                      </mc:Fallback>
                    </mc:AlternateContent>
                    <wp:extent cx="5363210" cy="9653270"/>
                    <wp:effectExtent l="0" t="0" r="8890" b="2540"/>
                    <wp:wrapNone/>
                    <wp:docPr id="471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363210" cy="9653270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FFFFFF" w:themeColor="background1"/>
                                    <w:sz w:val="80"/>
                                    <w:szCs w:val="80"/>
                                  </w:rPr>
                                  <w:alias w:val="Title"/>
                                  <w:id w:val="-1275550102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Content>
                                  <w:p w14:paraId="6CCC58EA" w14:textId="51724A93" w:rsidR="003B1D4A" w:rsidRDefault="003B1D4A">
                                    <w:pPr>
                                      <w:pStyle w:val="Title"/>
                                      <w:jc w:val="right"/>
                                      <w:rPr>
                                        <w:caps/>
                                        <w:color w:val="FFFFFF" w:themeColor="background1"/>
                                        <w:sz w:val="80"/>
                                        <w:szCs w:val="80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FFFFFF" w:themeColor="background1"/>
                                        <w:sz w:val="80"/>
                                        <w:szCs w:val="80"/>
                                      </w:rPr>
                                      <w:t>DELAWARE DRUG OVERDOSE FATALITY REVIEW COMMISSIon</w:t>
                                    </w:r>
                                  </w:p>
                                </w:sdtContent>
                              </w:sdt>
                              <w:p w14:paraId="767C059C" w14:textId="77777777" w:rsidR="003B1D4A" w:rsidRDefault="003B1D4A">
                                <w:pPr>
                                  <w:spacing w:before="240"/>
                                  <w:ind w:left="720"/>
                                  <w:jc w:val="right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color w:val="FFFFFF" w:themeColor="background1"/>
                                    <w:sz w:val="21"/>
                                    <w:szCs w:val="21"/>
                                  </w:rPr>
                                  <w:alias w:val="Abstract"/>
                                  <w:id w:val="-1812170092"/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Content>
                                  <w:p w14:paraId="0EF03493" w14:textId="04C93EFB" w:rsidR="003B1D4A" w:rsidRDefault="003B1D4A">
                                    <w:pPr>
                                      <w:spacing w:before="240"/>
                                      <w:ind w:left="1008"/>
                                      <w:jc w:val="right"/>
                                      <w:rPr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1"/>
                                        <w:szCs w:val="21"/>
                                      </w:rPr>
                                      <w:t>2022 Annual Report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274320" tIns="914400" rIns="27432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69000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w14:anchorId="119FC141" id="Rectangle 16" o:spid="_x0000_s1026" style="position:absolute;margin-left:0;margin-top:0;width:422.3pt;height:760.1pt;z-index:251659264;visibility:visible;mso-wrap-style:square;mso-width-percent:690;mso-height-percent:960;mso-left-percent:20;mso-top-percent:20;mso-wrap-distance-left:9pt;mso-wrap-distance-top:0;mso-wrap-distance-right:9pt;mso-wrap-distance-bottom:0;mso-position-horizontal-relative:page;mso-position-vertical-relative:page;mso-width-percent:690;mso-height-percent:960;mso-left-percent:20;mso-top-percent:2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1q65wEAALIDAAAOAAAAZHJzL2Uyb0RvYy54bWysU9uO0zAQfUfiHyy/01x6Y6OmK7SrRUjL&#10;RVr4AMdxGgvHY8Zuk/L1jN3LLvCGeLE8npmTOWdONrfTYNhBoddga17Mcs6UldBqu6v5t68Pb95y&#10;5oOwrTBgVc2PyvPb7etXm9FVqoQeTKuQEYj11ehq3ofgqizzsleD8DNwylKyAxxEoBB3WYtiJPTB&#10;ZGWer7IRsHUIUnlPr/enJN8m/K5TMnzuOq8CMzWn2UI6MZ1NPLPtRlQ7FK7X8jyG+IcpBqEtffQK&#10;dS+CYHvUf0ENWiJ46MJMwpBB12mpEgdiU+R/sHnqhVOJC4nj3VUm//9g5afDk/uCcXTvHkF+96RI&#10;NjpfXTMx8FTDmvEjtLRDsQ+QyE4dDrGTaLApaXq8aqqmwCQ9LuereVmQ9JJyN6vlvFwn1TNRXdod&#10;+vBewcDipeZIS0vw4vDoQxxHVJeSNCcY3T5oY1IQjaLuDLKDoBULKZUNRVwrdfmXlcbGegux85SO&#10;L4lqZBcd46swNRMl47WB9kikEU6eIY/TpQf8ydlIfqm5/7EXqDgzHywtpFwv5mV0WIpuisUipwh/&#10;yzUpWizXsVBYSWg1lwEvwV04OXPvUO96+lyRdLDwjhTvdNLiebTz8GSMRPZs4ui8l3Gqev7Vtr8A&#10;AAD//wMAUEsDBBQABgAIAAAAIQAIW8pN2gAAAAYBAAAPAAAAZHJzL2Rvd25yZXYueG1sTI/BTsMw&#10;EETvSPyDtUhcKuo0hKhK41QIkTstfIATb5Oo9jrEThv+noULXEZazWjmbblfnBUXnMLgScFmnYBA&#10;ar0ZqFPw8V4/bEGEqMlo6wkVfGGAfXV7U+rC+Csd8HKMneASCoVW0Mc4FlKGtkenw9qPSOyd/OR0&#10;5HPqpJn0lcudlWmS5NLpgXih1yO+9Niej7NT8Gg/s9VKL3X3djq8NsHWMZ83St3fLc87EBGX+BeG&#10;H3xGh4qZGj+TCcIq4Efir7K3zbIcRMOhpzRJQVal/I9ffQMAAP//AwBQSwECLQAUAAYACAAAACEA&#10;toM4kv4AAADhAQAAEwAAAAAAAAAAAAAAAAAAAAAAW0NvbnRlbnRfVHlwZXNdLnhtbFBLAQItABQA&#10;BgAIAAAAIQA4/SH/1gAAAJQBAAALAAAAAAAAAAAAAAAAAC8BAABfcmVscy8ucmVsc1BLAQItABQA&#10;BgAIAAAAIQA/j1q65wEAALIDAAAOAAAAAAAAAAAAAAAAAC4CAABkcnMvZTJvRG9jLnhtbFBLAQIt&#10;ABQABgAIAAAAIQAIW8pN2gAAAAYBAAAPAAAAAAAAAAAAAAAAAEEEAABkcnMvZG93bnJldi54bWxQ&#10;SwUGAAAAAAQABADzAAAASAUAAAAA&#10;" fillcolor="#4472c4 [3204]" stroked="f">
                    <v:textbox inset="21.6pt,1in,21.6pt"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80"/>
                              <w:szCs w:val="80"/>
                            </w:rPr>
                            <w:alias w:val="Title"/>
                            <w:id w:val="-1275550102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6CCC58EA" w14:textId="51724A93" w:rsidR="003B1D4A" w:rsidRDefault="003B1D4A">
                              <w:pPr>
                                <w:pStyle w:val="Title"/>
                                <w:jc w:val="right"/>
                                <w:rPr>
                                  <w:caps/>
                                  <w:color w:val="FFFFFF" w:themeColor="background1"/>
                                  <w:sz w:val="80"/>
                                  <w:szCs w:val="80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  <w:sz w:val="80"/>
                                  <w:szCs w:val="80"/>
                                </w:rPr>
                                <w:t>DELAWARE DRUG OVERDOSE FATALITY REVIEW COMMISSIon</w:t>
                              </w:r>
                            </w:p>
                          </w:sdtContent>
                        </w:sdt>
                        <w:p w14:paraId="767C059C" w14:textId="77777777" w:rsidR="003B1D4A" w:rsidRDefault="003B1D4A">
                          <w:pPr>
                            <w:spacing w:before="240"/>
                            <w:ind w:left="720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  <w:sdt>
                          <w:sdtPr>
                            <w:rPr>
                              <w:color w:val="FFFFFF" w:themeColor="background1"/>
                              <w:sz w:val="21"/>
                              <w:szCs w:val="21"/>
                            </w:rPr>
                            <w:alias w:val="Abstract"/>
                            <w:id w:val="-1812170092"/>
                            <w:dataBinding w:prefixMappings="xmlns:ns0='http://schemas.microsoft.com/office/2006/coverPageProps'" w:xpath="/ns0:CoverPageProperties[1]/ns0:Abstract[1]" w:storeItemID="{55AF091B-3C7A-41E3-B477-F2FDAA23CFDA}"/>
                            <w:text/>
                          </w:sdtPr>
                          <w:sdtContent>
                            <w:p w14:paraId="0EF03493" w14:textId="04C93EFB" w:rsidR="003B1D4A" w:rsidRDefault="003B1D4A">
                              <w:pPr>
                                <w:spacing w:before="240"/>
                                <w:ind w:left="1008"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1"/>
                                  <w:szCs w:val="21"/>
                                </w:rPr>
                                <w:t>2022 Annual Report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F9DC660" wp14:editId="32CFF750">
                    <wp:simplePos x="0" y="0"/>
                    <mc:AlternateContent>
                      <mc:Choice Requires="wp14">
                        <wp:positionH relativeFrom="page">
                          <wp14:pctPosHOffset>73000</wp14:pctPosHOffset>
                        </wp:positionH>
                      </mc:Choice>
                      <mc:Fallback>
                        <wp:positionH relativeFrom="page">
                          <wp:posOffset>5673725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1880870" cy="9655810"/>
                    <wp:effectExtent l="0" t="0" r="5080" b="2540"/>
                    <wp:wrapNone/>
                    <wp:docPr id="472" name="Rectangle 47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880870" cy="965581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01DAB78" w14:textId="2BA447A1" w:rsidR="003B1D4A" w:rsidRDefault="003B1D4A">
                                <w:pPr>
                                  <w:pStyle w:val="Subtitle"/>
                                  <w:rPr>
                                    <w:rFonts w:cstheme="minorBidi"/>
                                    <w:color w:val="FFFFFF" w:themeColor="background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45720" rIns="18288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24200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w14:anchorId="0F9DC660" id="Rectangle 472" o:spid="_x0000_s1027" style="position:absolute;margin-left:0;margin-top:0;width:148.1pt;height:760.3pt;z-index:251660288;visibility:visible;mso-wrap-style:square;mso-width-percent:242;mso-height-percent:960;mso-left-percent:730;mso-wrap-distance-left:9pt;mso-wrap-distance-top:0;mso-wrap-distance-right:9pt;mso-wrap-distance-bottom:0;mso-position-horizontal-relative:page;mso-position-vertical:center;mso-position-vertical-relative:page;mso-width-percent:242;mso-height-percent:960;mso-left-percent:7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zf6lQIAAIwFAAAOAAAAZHJzL2Uyb0RvYy54bWysVMFu2zAMvQ/YPwi6r7aDpc2MOkXQosOA&#10;oC3WDj0rslQbk0VNUmJnXz9Kst2uK3YY5oNgiuQj+UTy/GLoFDkI61rQFS1OckqE5lC3+qmi3x6u&#10;P6wocZ7pminQoqJH4ejF+v27896UYgENqFpYgiDalb2paOO9KbPM8UZ0zJ2AERqVEmzHPIr2Kast&#10;6xG9U9kiz0+zHmxtLHDhHN5eJSVdR3wpBfe3Ujrhiaoo5ubjaeO5C2e2Pmflk2WmafmYBvuHLDrW&#10;agw6Q10xz8jetn9AdS234ED6Ew5dBlK2XMQasJoif1XNfcOMiLUgOc7MNLn/B8tvDvfmzobUndkC&#10;/+6Qkaw3rpw1QXCjzSBtF2wxcTJEFo8zi2LwhONlsVrlqzMkm6Pu0+lyuSoizxkrJ3djnf8soCPh&#10;p6IWnymyxw5b50MCrJxMYmag2vq6VSoKoTXEpbLkwPBR/bAIj4ge7qWV0sFWQ/BK6nATC0u1xKr8&#10;UYlgp/RXIUlbY/aLmEjsv+cgjHOhfZFUDatFir3M8ZuiT2nFXCJgQJYYf8YeASbLBDJhpyxH++Aq&#10;YvvOzvnfEkvOs0eMDNrPzl2rwb4FoLCqMXKyn0hK1ASW/LAbkBt82GAZbnZQH+8ssZDGyRl+3eJD&#10;bpnzd8zi/ODj407wt3hIBX1FYfyjpAH78637YI9tjVpKepzHirofe2YFJeqLxoYvVgvsK5zgKH1c&#10;ni1QsL+pdi9Vet9dAvZHgfvH8PgbHLyafqWF7hGXxybERRXTHKNXlHs7CZc+bQpcP1xsNtEMx9Yw&#10;v9X3hgfwwHRo1YfhkVkz9rPHUbiBaXpZ+aqtk23w1LDZe5Bt7PlnZsc3wJGPzTSup7BTXsrR6nmJ&#10;rn8BAAD//wMAUEsDBBQABgAIAAAAIQAjwkrH2gAAAAYBAAAPAAAAZHJzL2Rvd25yZXYueG1sTI/B&#10;TsMwEETvSPyDtUjcqE2kBprGqRCCW0EQ+ADH3jhR43Vku234ewwXuIy0mtHM23q3uImdMMTRk4Tb&#10;lQCGpL0ZyUr4/Hi+uQcWkyKjJk8o4Qsj7JrLi1pVxp/pHU9tsiyXUKyUhCGlueI86gGdiis/I2Wv&#10;98GplM9guQnqnMvdxAshSu7USHlhUDM+DqgP7dFJeLrbH2wQ3djrven1mtvX9uVNyuur5WELLOGS&#10;/sLwg5/RoclMnT+SiWySkB9Jv5q9YlMWwLocWheiBN7U/D9+8w0AAP//AwBQSwECLQAUAAYACAAA&#10;ACEAtoM4kv4AAADhAQAAEwAAAAAAAAAAAAAAAAAAAAAAW0NvbnRlbnRfVHlwZXNdLnhtbFBLAQIt&#10;ABQABgAIAAAAIQA4/SH/1gAAAJQBAAALAAAAAAAAAAAAAAAAAC8BAABfcmVscy8ucmVsc1BLAQIt&#10;ABQABgAIAAAAIQAlCzf6lQIAAIwFAAAOAAAAAAAAAAAAAAAAAC4CAABkcnMvZTJvRG9jLnhtbFBL&#10;AQItABQABgAIAAAAIQAjwkrH2gAAAAYBAAAPAAAAAAAAAAAAAAAAAO8EAABkcnMvZG93bnJldi54&#10;bWxQSwUGAAAAAAQABADzAAAA9gUAAAAA&#10;" fillcolor="#44546a [3215]" stroked="f" strokeweight="1pt">
                    <v:textbox inset="14.4pt,,14.4pt">
                      <w:txbxContent>
                        <w:p w14:paraId="301DAB78" w14:textId="2BA447A1" w:rsidR="003B1D4A" w:rsidRDefault="003B1D4A">
                          <w:pPr>
                            <w:pStyle w:val="Subtitle"/>
                            <w:rPr>
                              <w:rFonts w:cstheme="minorBidi"/>
                              <w:color w:val="FFFFFF" w:themeColor="background1"/>
                            </w:rP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1468C023" w14:textId="77777777" w:rsidR="003B1D4A" w:rsidRDefault="003B1D4A"/>
        <w:p w14:paraId="41D02A2E" w14:textId="77777777" w:rsidR="003B1D4A" w:rsidRDefault="003B1D4A" w:rsidP="003B1D4A">
          <w:pPr>
            <w:rPr>
              <w:b/>
              <w:bCs/>
              <w:u w:val="single"/>
            </w:rPr>
          </w:pPr>
          <w:r>
            <w:rPr>
              <w:b/>
              <w:bCs/>
              <w:u w:val="single"/>
            </w:rPr>
            <w:br w:type="page"/>
          </w:r>
        </w:p>
        <w:p w14:paraId="117E45F1" w14:textId="2DF8EE06" w:rsidR="003B1D4A" w:rsidRDefault="003B1D4A" w:rsidP="003B1D4A">
          <w:pPr>
            <w:rPr>
              <w:b/>
              <w:bCs/>
              <w:u w:val="single"/>
            </w:rPr>
          </w:pPr>
        </w:p>
      </w:sdtContent>
    </w:sdt>
    <w:p w14:paraId="02C33CAB" w14:textId="7841DB12" w:rsidR="006E4F49" w:rsidRDefault="00B7659A" w:rsidP="00B7659A">
      <w:pPr>
        <w:spacing w:line="480" w:lineRule="auto"/>
        <w:rPr>
          <w:b/>
          <w:bCs/>
          <w:u w:val="single"/>
        </w:rPr>
      </w:pPr>
      <w:r>
        <w:rPr>
          <w:b/>
          <w:bCs/>
          <w:u w:val="single"/>
        </w:rPr>
        <w:t>Overview</w:t>
      </w:r>
    </w:p>
    <w:p w14:paraId="69CDBCF7" w14:textId="0DF87093" w:rsidR="00B7659A" w:rsidRPr="00B7659A" w:rsidRDefault="00B7659A" w:rsidP="00B7659A">
      <w:pPr>
        <w:spacing w:line="480" w:lineRule="auto"/>
        <w:ind w:firstLine="720"/>
      </w:pPr>
      <w:r w:rsidRPr="00B7659A">
        <w:t>The Delaware Drug Overdose Fatality Review Commission (DOFRC) is charged under Delaware Code Title 16, § 4799, to review opioid overdose deaths in the State of Delaware. In 20</w:t>
      </w:r>
      <w:r>
        <w:t>20</w:t>
      </w:r>
      <w:r w:rsidRPr="00B7659A">
        <w:t xml:space="preserve">, there were </w:t>
      </w:r>
      <w:r w:rsidR="0075777D">
        <w:t xml:space="preserve">447 </w:t>
      </w:r>
      <w:r w:rsidRPr="00B7659A">
        <w:t>overdose deaths recorded in the state of Delaware. This report examines a sample of 1</w:t>
      </w:r>
      <w:r>
        <w:t>08</w:t>
      </w:r>
      <w:r w:rsidRPr="00B7659A">
        <w:t xml:space="preserve"> of cases from fatal overdoses that occurred in 20</w:t>
      </w:r>
      <w:r>
        <w:t>20</w:t>
      </w:r>
      <w:r w:rsidRPr="00B7659A">
        <w:t xml:space="preserve">. Sampling </w:t>
      </w:r>
      <w:r w:rsidR="00EF787F">
        <w:t>was</w:t>
      </w:r>
      <w:r w:rsidRPr="00B7659A">
        <w:t xml:space="preserve"> done systematically by reviewing the cases of odd months (e.g., January-01, March-03, etc.) reported on odd days (e.g., 01, 03, 05, etc.) and the cases reported on even days of even months. This systematic sample highlights that 5</w:t>
      </w:r>
      <w:r>
        <w:t>9</w:t>
      </w:r>
      <w:r w:rsidRPr="00B7659A">
        <w:t>.</w:t>
      </w:r>
      <w:r>
        <w:t>3</w:t>
      </w:r>
      <w:r w:rsidRPr="00B7659A">
        <w:t>% of overdose deaths occurred in New Castle County, 1</w:t>
      </w:r>
      <w:r>
        <w:t>4</w:t>
      </w:r>
      <w:r w:rsidRPr="00B7659A">
        <w:t>.</w:t>
      </w:r>
      <w:r>
        <w:t>8</w:t>
      </w:r>
      <w:r w:rsidRPr="00B7659A">
        <w:t>% in Kent County, and 2</w:t>
      </w:r>
      <w:r>
        <w:t>5</w:t>
      </w:r>
      <w:r w:rsidRPr="00B7659A">
        <w:t>.</w:t>
      </w:r>
      <w:r>
        <w:t>9</w:t>
      </w:r>
      <w:r w:rsidRPr="00B7659A">
        <w:t xml:space="preserve">% in Sussex County. Figure 1 (below) demonstrates the distribution of cases per day of the week, highlighting that </w:t>
      </w:r>
      <w:r>
        <w:t>Sunday</w:t>
      </w:r>
      <w:r w:rsidRPr="00B7659A">
        <w:t xml:space="preserve">, </w:t>
      </w:r>
      <w:r>
        <w:t>Wednesday</w:t>
      </w:r>
      <w:r w:rsidRPr="00B7659A">
        <w:t xml:space="preserve">, and </w:t>
      </w:r>
      <w:r>
        <w:t>Saturday</w:t>
      </w:r>
      <w:r w:rsidRPr="00B7659A">
        <w:t xml:space="preserve"> showed more cases than other days of the week</w:t>
      </w:r>
      <w:r>
        <w:t>:</w:t>
      </w:r>
    </w:p>
    <w:p w14:paraId="1EFC3CCF" w14:textId="4B028C3D" w:rsidR="00D35C84" w:rsidRDefault="00B7659A" w:rsidP="00D35C84">
      <w:pPr>
        <w:jc w:val="center"/>
        <w:rPr>
          <w:b/>
          <w:bCs/>
          <w:u w:val="single"/>
        </w:rPr>
      </w:pPr>
      <w:r>
        <w:rPr>
          <w:noProof/>
        </w:rPr>
        <w:drawing>
          <wp:inline distT="0" distB="0" distL="0" distR="0" wp14:anchorId="1607B9E4" wp14:editId="41731793">
            <wp:extent cx="4572000" cy="2743200"/>
            <wp:effectExtent l="0" t="0" r="12700" b="12700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0CE29A83-4F2F-9245-B5B8-6FA683F1053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BCAE158" w14:textId="032566C2" w:rsidR="00D35C84" w:rsidRPr="00D35C84" w:rsidRDefault="00D35C84" w:rsidP="00D35C84">
      <w:r>
        <w:tab/>
        <w:t xml:space="preserve">Figure 1: Day of the Week When Death </w:t>
      </w:r>
      <w:r w:rsidR="00F4186E">
        <w:t>Occurred</w:t>
      </w:r>
    </w:p>
    <w:p w14:paraId="01ABCDE1" w14:textId="77777777" w:rsidR="00D35C84" w:rsidRDefault="00D35C84" w:rsidP="00D35C84">
      <w:pPr>
        <w:jc w:val="center"/>
        <w:rPr>
          <w:b/>
          <w:bCs/>
          <w:u w:val="single"/>
        </w:rPr>
      </w:pPr>
    </w:p>
    <w:p w14:paraId="1A255C01" w14:textId="7BFA45C3" w:rsidR="00B7659A" w:rsidRDefault="00BA2E7E" w:rsidP="00B7659A">
      <w:pPr>
        <w:spacing w:line="480" w:lineRule="auto"/>
      </w:pPr>
      <w:r>
        <w:tab/>
        <w:t>Figure 2 below</w:t>
      </w:r>
      <w:r w:rsidR="00F4186E">
        <w:t>,</w:t>
      </w:r>
      <w:r>
        <w:t xml:space="preserve"> outlines the location of overdose deaths. Overdose deaths occurring within the decedent</w:t>
      </w:r>
      <w:r w:rsidR="00EF787F">
        <w:t>’</w:t>
      </w:r>
      <w:r>
        <w:t xml:space="preserve">s own home represented 39.6% of our sample, while 54.56% </w:t>
      </w:r>
      <w:r w:rsidR="00EF787F">
        <w:t xml:space="preserve">occurred </w:t>
      </w:r>
      <w:r>
        <w:lastRenderedPageBreak/>
        <w:t>outside of the decedent’s own residence</w:t>
      </w:r>
      <w:r>
        <w:rPr>
          <w:rStyle w:val="FootnoteReference"/>
        </w:rPr>
        <w:footnoteReference w:id="1"/>
      </w:r>
      <w:r>
        <w:t xml:space="preserve">. </w:t>
      </w:r>
      <w:r w:rsidR="00EF787F">
        <w:t>Fatal overdoses</w:t>
      </w:r>
      <w:r w:rsidR="00D35C84">
        <w:t xml:space="preserve"> outside of the </w:t>
      </w:r>
      <w:r w:rsidR="00451D2C">
        <w:t>decedent’s</w:t>
      </w:r>
      <w:r w:rsidR="00D35C84">
        <w:t xml:space="preserve"> residence</w:t>
      </w:r>
      <w:r w:rsidR="00F4186E">
        <w:t xml:space="preserve"> </w:t>
      </w:r>
      <w:r w:rsidR="00D35C84">
        <w:t xml:space="preserve">often occurred in vehicles, </w:t>
      </w:r>
      <w:r w:rsidR="005A4717">
        <w:t>a</w:t>
      </w:r>
      <w:r w:rsidR="00D35C84">
        <w:t xml:space="preserve"> </w:t>
      </w:r>
      <w:r w:rsidR="00224817">
        <w:t>family members</w:t>
      </w:r>
      <w:r w:rsidR="00D35C84">
        <w:t xml:space="preserve"> </w:t>
      </w:r>
      <w:r w:rsidR="00EF787F">
        <w:t>residence</w:t>
      </w:r>
      <w:r w:rsidR="00224817">
        <w:t>/property</w:t>
      </w:r>
      <w:r w:rsidR="00EF787F">
        <w:t>,</w:t>
      </w:r>
      <w:r w:rsidR="00224817">
        <w:t xml:space="preserve"> the residence of another,</w:t>
      </w:r>
      <w:r w:rsidR="00EF787F">
        <w:t xml:space="preserve"> or at uncategorized locations outside of the home (“Other”).</w:t>
      </w:r>
    </w:p>
    <w:p w14:paraId="206C767F" w14:textId="4B5345EC" w:rsidR="00D35C84" w:rsidRDefault="00224817" w:rsidP="00D35C84">
      <w:r>
        <w:rPr>
          <w:noProof/>
        </w:rPr>
        <w:drawing>
          <wp:inline distT="0" distB="0" distL="0" distR="0" wp14:anchorId="7E779A35" wp14:editId="55B3DF8D">
            <wp:extent cx="5943600" cy="2997200"/>
            <wp:effectExtent l="0" t="0" r="12700" b="1270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C47C1CA-20D6-334D-B217-3E927221A5C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5389B39" w14:textId="53F4D3FC" w:rsidR="00D35C84" w:rsidRDefault="00D35C84" w:rsidP="00D35C84">
      <w:r>
        <w:t>Figure 2: Location of Death</w:t>
      </w:r>
    </w:p>
    <w:p w14:paraId="72754668" w14:textId="181AF826" w:rsidR="00D35C84" w:rsidRDefault="00D35C84" w:rsidP="00D35C84"/>
    <w:p w14:paraId="6956BB49" w14:textId="42F83D94" w:rsidR="00136F09" w:rsidRDefault="00136F09" w:rsidP="00D35C84">
      <w:pPr>
        <w:spacing w:line="480" w:lineRule="auto"/>
      </w:pPr>
      <w:r>
        <w:t xml:space="preserve">Decedents were most frequently discovered by their significant other (27.4%), </w:t>
      </w:r>
      <w:r w:rsidR="00224817">
        <w:t xml:space="preserve">family (24.5%), or </w:t>
      </w:r>
      <w:r>
        <w:t>friend</w:t>
      </w:r>
      <w:r w:rsidR="005A4717">
        <w:t>(</w:t>
      </w:r>
      <w:r>
        <w:t>s</w:t>
      </w:r>
      <w:r w:rsidR="005A4717">
        <w:t>)</w:t>
      </w:r>
      <w:r>
        <w:t xml:space="preserve"> (12.3%)</w:t>
      </w:r>
      <w:r w:rsidR="00224817">
        <w:t>.</w:t>
      </w:r>
      <w:r>
        <w:t xml:space="preserve"> Figure 3 below highlights the relationship</w:t>
      </w:r>
      <w:r w:rsidR="005A4717">
        <w:t xml:space="preserve"> </w:t>
      </w:r>
      <w:r>
        <w:t xml:space="preserve">of those who discovered the </w:t>
      </w:r>
      <w:r w:rsidR="005A4717">
        <w:t>decedent</w:t>
      </w:r>
      <w:r>
        <w:t>:</w:t>
      </w:r>
    </w:p>
    <w:p w14:paraId="62938934" w14:textId="7CDC6821" w:rsidR="00136F09" w:rsidRDefault="00224817" w:rsidP="00136F09">
      <w:r>
        <w:rPr>
          <w:noProof/>
        </w:rPr>
        <w:lastRenderedPageBreak/>
        <w:drawing>
          <wp:inline distT="0" distB="0" distL="0" distR="0" wp14:anchorId="6AC33E89" wp14:editId="2E5E908E">
            <wp:extent cx="5901267" cy="3462867"/>
            <wp:effectExtent l="0" t="0" r="17145" b="17145"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639C5AAA-FA65-F84B-A329-9EF02BF15CB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1A72AB1" w14:textId="41A66870" w:rsidR="00136F09" w:rsidRDefault="00136F09" w:rsidP="00136F09">
      <w:r>
        <w:t>Figure 3: Relationship of Individuals who Discovered Decedent</w:t>
      </w:r>
    </w:p>
    <w:p w14:paraId="7A8F38F3" w14:textId="77777777" w:rsidR="00136F09" w:rsidRDefault="00136F09" w:rsidP="00136F09"/>
    <w:p w14:paraId="0ABABEC7" w14:textId="64978240" w:rsidR="00D35C84" w:rsidRDefault="005A4717" w:rsidP="00136F09">
      <w:pPr>
        <w:spacing w:line="480" w:lineRule="auto"/>
        <w:ind w:firstLine="720"/>
      </w:pPr>
      <w:r>
        <w:t>The average decedent</w:t>
      </w:r>
      <w:r w:rsidR="00D35C84">
        <w:t xml:space="preserve"> in our sample </w:t>
      </w:r>
      <w:r>
        <w:t xml:space="preserve">was a 41-year-old single </w:t>
      </w:r>
      <w:r w:rsidR="00D35C84">
        <w:t>white male</w:t>
      </w:r>
      <w:r>
        <w:t xml:space="preserve">. </w:t>
      </w:r>
      <w:r w:rsidR="00D35C84">
        <w:t xml:space="preserve">Most decedents </w:t>
      </w:r>
      <w:r>
        <w:t xml:space="preserve">had </w:t>
      </w:r>
      <w:r w:rsidR="00D35C84">
        <w:t xml:space="preserve">a high school diploma, worked in construction/extraction occupations, and had no prior military experience. </w:t>
      </w:r>
      <w:r w:rsidR="00136F09">
        <w:t>Table 1</w:t>
      </w:r>
      <w:r w:rsidR="00DF34B3">
        <w:t>,</w:t>
      </w:r>
      <w:r w:rsidR="00136F09">
        <w:t xml:space="preserve"> below</w:t>
      </w:r>
      <w:r w:rsidR="00DF34B3">
        <w:t>,</w:t>
      </w:r>
      <w:r w:rsidR="00136F09">
        <w:t xml:space="preserve"> outlines demographic data </w:t>
      </w:r>
      <w:r w:rsidR="00DF34B3">
        <w:t xml:space="preserve">from </w:t>
      </w:r>
      <w:r w:rsidR="00136F09">
        <w:t>our sample: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15"/>
        <w:gridCol w:w="3235"/>
      </w:tblGrid>
      <w:tr w:rsidR="00136F09" w14:paraId="23F1147D" w14:textId="77777777" w:rsidTr="00984851">
        <w:tc>
          <w:tcPr>
            <w:tcW w:w="6115" w:type="dxa"/>
            <w:tcBorders>
              <w:top w:val="single" w:sz="12" w:space="0" w:color="auto"/>
              <w:bottom w:val="single" w:sz="4" w:space="0" w:color="auto"/>
            </w:tcBorders>
          </w:tcPr>
          <w:p w14:paraId="33ABE358" w14:textId="77777777" w:rsidR="00136F09" w:rsidRPr="00562DC3" w:rsidRDefault="00136F09" w:rsidP="00984851">
            <w:pPr>
              <w:jc w:val="center"/>
              <w:rPr>
                <w:i/>
                <w:iCs/>
              </w:rPr>
            </w:pPr>
            <w:r w:rsidRPr="00562DC3">
              <w:rPr>
                <w:i/>
                <w:iCs/>
              </w:rPr>
              <w:t>Variable</w:t>
            </w:r>
          </w:p>
        </w:tc>
        <w:tc>
          <w:tcPr>
            <w:tcW w:w="3235" w:type="dxa"/>
            <w:tcBorders>
              <w:top w:val="single" w:sz="12" w:space="0" w:color="auto"/>
              <w:bottom w:val="single" w:sz="4" w:space="0" w:color="auto"/>
            </w:tcBorders>
          </w:tcPr>
          <w:p w14:paraId="643D6FA6" w14:textId="77777777" w:rsidR="00136F09" w:rsidRPr="00562DC3" w:rsidRDefault="00136F09" w:rsidP="00984851">
            <w:pPr>
              <w:jc w:val="center"/>
              <w:rPr>
                <w:i/>
                <w:iCs/>
              </w:rPr>
            </w:pPr>
            <w:r w:rsidRPr="00562DC3">
              <w:rPr>
                <w:i/>
                <w:iCs/>
              </w:rPr>
              <w:t>Percentage</w:t>
            </w:r>
          </w:p>
        </w:tc>
      </w:tr>
      <w:tr w:rsidR="00136F09" w14:paraId="30DD1945" w14:textId="77777777" w:rsidTr="00984851">
        <w:tc>
          <w:tcPr>
            <w:tcW w:w="6115" w:type="dxa"/>
            <w:tcBorders>
              <w:top w:val="single" w:sz="4" w:space="0" w:color="auto"/>
            </w:tcBorders>
          </w:tcPr>
          <w:p w14:paraId="72ABC970" w14:textId="77777777" w:rsidR="00136F09" w:rsidRPr="0099012A" w:rsidRDefault="00136F09" w:rsidP="00984851">
            <w:r w:rsidRPr="0099012A">
              <w:t>Age</w:t>
            </w:r>
          </w:p>
        </w:tc>
        <w:tc>
          <w:tcPr>
            <w:tcW w:w="3235" w:type="dxa"/>
            <w:tcBorders>
              <w:top w:val="single" w:sz="4" w:space="0" w:color="auto"/>
            </w:tcBorders>
          </w:tcPr>
          <w:p w14:paraId="435BB936" w14:textId="77777777" w:rsidR="00136F09" w:rsidRDefault="00136F09" w:rsidP="00984851">
            <w:pPr>
              <w:jc w:val="center"/>
            </w:pPr>
          </w:p>
        </w:tc>
      </w:tr>
      <w:tr w:rsidR="00136F09" w14:paraId="7A824032" w14:textId="77777777" w:rsidTr="00984851">
        <w:tc>
          <w:tcPr>
            <w:tcW w:w="6115" w:type="dxa"/>
          </w:tcPr>
          <w:p w14:paraId="2D1F3EF0" w14:textId="77777777" w:rsidR="00136F09" w:rsidRPr="0099012A" w:rsidRDefault="00136F09" w:rsidP="00984851">
            <w:pPr>
              <w:ind w:left="720"/>
            </w:pPr>
            <w:r w:rsidRPr="0099012A">
              <w:t>Mean = 41.56</w:t>
            </w:r>
          </w:p>
        </w:tc>
        <w:tc>
          <w:tcPr>
            <w:tcW w:w="3235" w:type="dxa"/>
          </w:tcPr>
          <w:p w14:paraId="22BE52FC" w14:textId="77777777" w:rsidR="00136F09" w:rsidRDefault="00136F09" w:rsidP="00984851">
            <w:pPr>
              <w:jc w:val="center"/>
            </w:pPr>
          </w:p>
        </w:tc>
      </w:tr>
      <w:tr w:rsidR="00136F09" w14:paraId="39329E6F" w14:textId="77777777" w:rsidTr="00984851">
        <w:tc>
          <w:tcPr>
            <w:tcW w:w="6115" w:type="dxa"/>
          </w:tcPr>
          <w:p w14:paraId="71E5B645" w14:textId="77777777" w:rsidR="00136F09" w:rsidRPr="0099012A" w:rsidRDefault="00136F09" w:rsidP="00984851">
            <w:r w:rsidRPr="0099012A">
              <w:t>Sex</w:t>
            </w:r>
          </w:p>
        </w:tc>
        <w:tc>
          <w:tcPr>
            <w:tcW w:w="3235" w:type="dxa"/>
          </w:tcPr>
          <w:p w14:paraId="148E7BDE" w14:textId="77777777" w:rsidR="00136F09" w:rsidRDefault="00136F09" w:rsidP="00984851">
            <w:pPr>
              <w:jc w:val="center"/>
            </w:pPr>
          </w:p>
        </w:tc>
      </w:tr>
      <w:tr w:rsidR="00136F09" w14:paraId="478727B4" w14:textId="77777777" w:rsidTr="00984851">
        <w:tc>
          <w:tcPr>
            <w:tcW w:w="6115" w:type="dxa"/>
          </w:tcPr>
          <w:p w14:paraId="65F4D74C" w14:textId="77777777" w:rsidR="00136F09" w:rsidRPr="0099012A" w:rsidRDefault="00136F09" w:rsidP="00984851">
            <w:pPr>
              <w:ind w:left="720"/>
            </w:pPr>
            <w:r w:rsidRPr="0099012A">
              <w:t>Male</w:t>
            </w:r>
          </w:p>
        </w:tc>
        <w:tc>
          <w:tcPr>
            <w:tcW w:w="3235" w:type="dxa"/>
          </w:tcPr>
          <w:p w14:paraId="7CF469AE" w14:textId="77777777" w:rsidR="00136F09" w:rsidRDefault="00136F09" w:rsidP="00984851">
            <w:pPr>
              <w:jc w:val="center"/>
            </w:pPr>
            <w:r>
              <w:t>73.1%</w:t>
            </w:r>
          </w:p>
        </w:tc>
      </w:tr>
      <w:tr w:rsidR="00136F09" w14:paraId="77C84873" w14:textId="77777777" w:rsidTr="00984851">
        <w:tc>
          <w:tcPr>
            <w:tcW w:w="6115" w:type="dxa"/>
          </w:tcPr>
          <w:p w14:paraId="270B0905" w14:textId="77777777" w:rsidR="00136F09" w:rsidRPr="0099012A" w:rsidRDefault="00136F09" w:rsidP="00984851">
            <w:pPr>
              <w:ind w:left="720"/>
            </w:pPr>
            <w:r w:rsidRPr="0099012A">
              <w:t>Female</w:t>
            </w:r>
          </w:p>
        </w:tc>
        <w:tc>
          <w:tcPr>
            <w:tcW w:w="3235" w:type="dxa"/>
          </w:tcPr>
          <w:p w14:paraId="6D65DC7B" w14:textId="77777777" w:rsidR="00136F09" w:rsidRDefault="00136F09" w:rsidP="00984851">
            <w:pPr>
              <w:jc w:val="center"/>
            </w:pPr>
            <w:r>
              <w:t>26.9%</w:t>
            </w:r>
          </w:p>
        </w:tc>
      </w:tr>
      <w:tr w:rsidR="00136F09" w14:paraId="042591EB" w14:textId="77777777" w:rsidTr="00984851">
        <w:tc>
          <w:tcPr>
            <w:tcW w:w="6115" w:type="dxa"/>
          </w:tcPr>
          <w:p w14:paraId="59906806" w14:textId="77777777" w:rsidR="00136F09" w:rsidRPr="0099012A" w:rsidRDefault="00136F09" w:rsidP="00984851">
            <w:r w:rsidRPr="0099012A">
              <w:t>Race</w:t>
            </w:r>
          </w:p>
        </w:tc>
        <w:tc>
          <w:tcPr>
            <w:tcW w:w="3235" w:type="dxa"/>
          </w:tcPr>
          <w:p w14:paraId="13F39EF3" w14:textId="77777777" w:rsidR="00136F09" w:rsidRDefault="00136F09" w:rsidP="00984851">
            <w:pPr>
              <w:jc w:val="center"/>
            </w:pPr>
          </w:p>
        </w:tc>
      </w:tr>
      <w:tr w:rsidR="00136F09" w14:paraId="4D41CCB1" w14:textId="77777777" w:rsidTr="00984851">
        <w:tc>
          <w:tcPr>
            <w:tcW w:w="6115" w:type="dxa"/>
          </w:tcPr>
          <w:p w14:paraId="305B9C58" w14:textId="77777777" w:rsidR="00136F09" w:rsidRPr="0099012A" w:rsidRDefault="00136F09" w:rsidP="00984851">
            <w:pPr>
              <w:ind w:left="720"/>
            </w:pPr>
            <w:r w:rsidRPr="0099012A">
              <w:t>White</w:t>
            </w:r>
          </w:p>
        </w:tc>
        <w:tc>
          <w:tcPr>
            <w:tcW w:w="3235" w:type="dxa"/>
          </w:tcPr>
          <w:p w14:paraId="4589A9BF" w14:textId="77777777" w:rsidR="00136F09" w:rsidRDefault="00136F09" w:rsidP="00984851">
            <w:pPr>
              <w:jc w:val="center"/>
            </w:pPr>
            <w:r>
              <w:t>68.2%</w:t>
            </w:r>
          </w:p>
        </w:tc>
      </w:tr>
      <w:tr w:rsidR="00136F09" w14:paraId="2C20935D" w14:textId="77777777" w:rsidTr="00984851">
        <w:tc>
          <w:tcPr>
            <w:tcW w:w="6115" w:type="dxa"/>
          </w:tcPr>
          <w:p w14:paraId="70568700" w14:textId="77777777" w:rsidR="00136F09" w:rsidRPr="0099012A" w:rsidRDefault="00136F09" w:rsidP="00984851">
            <w:pPr>
              <w:ind w:left="720"/>
            </w:pPr>
            <w:r w:rsidRPr="0099012A">
              <w:t>Black</w:t>
            </w:r>
          </w:p>
        </w:tc>
        <w:tc>
          <w:tcPr>
            <w:tcW w:w="3235" w:type="dxa"/>
          </w:tcPr>
          <w:p w14:paraId="42860FFF" w14:textId="77777777" w:rsidR="00136F09" w:rsidRDefault="00136F09" w:rsidP="00984851">
            <w:pPr>
              <w:jc w:val="center"/>
            </w:pPr>
            <w:r>
              <w:t>26.2%</w:t>
            </w:r>
          </w:p>
        </w:tc>
      </w:tr>
      <w:tr w:rsidR="00136F09" w14:paraId="6A47880B" w14:textId="77777777" w:rsidTr="00984851">
        <w:tc>
          <w:tcPr>
            <w:tcW w:w="6115" w:type="dxa"/>
          </w:tcPr>
          <w:p w14:paraId="78C21592" w14:textId="77777777" w:rsidR="00136F09" w:rsidRPr="0099012A" w:rsidRDefault="00136F09" w:rsidP="00984851">
            <w:pPr>
              <w:ind w:left="720"/>
            </w:pPr>
            <w:r w:rsidRPr="0099012A">
              <w:t>Latino/a</w:t>
            </w:r>
          </w:p>
        </w:tc>
        <w:tc>
          <w:tcPr>
            <w:tcW w:w="3235" w:type="dxa"/>
          </w:tcPr>
          <w:p w14:paraId="48C28A7C" w14:textId="77777777" w:rsidR="00136F09" w:rsidRDefault="00136F09" w:rsidP="00984851">
            <w:pPr>
              <w:jc w:val="center"/>
            </w:pPr>
            <w:r>
              <w:t>3.7%</w:t>
            </w:r>
          </w:p>
        </w:tc>
      </w:tr>
      <w:tr w:rsidR="00136F09" w14:paraId="5CB0701B" w14:textId="77777777" w:rsidTr="00984851">
        <w:tc>
          <w:tcPr>
            <w:tcW w:w="6115" w:type="dxa"/>
          </w:tcPr>
          <w:p w14:paraId="553AF565" w14:textId="77777777" w:rsidR="00136F09" w:rsidRPr="0099012A" w:rsidRDefault="00136F09" w:rsidP="00984851">
            <w:pPr>
              <w:ind w:left="720"/>
            </w:pPr>
            <w:r w:rsidRPr="0099012A">
              <w:t>Asian</w:t>
            </w:r>
          </w:p>
        </w:tc>
        <w:tc>
          <w:tcPr>
            <w:tcW w:w="3235" w:type="dxa"/>
          </w:tcPr>
          <w:p w14:paraId="51E51701" w14:textId="77777777" w:rsidR="00136F09" w:rsidRDefault="00136F09" w:rsidP="00984851">
            <w:pPr>
              <w:jc w:val="center"/>
            </w:pPr>
            <w:r>
              <w:t>0.9%</w:t>
            </w:r>
          </w:p>
        </w:tc>
      </w:tr>
      <w:tr w:rsidR="00136F09" w14:paraId="20E70C31" w14:textId="77777777" w:rsidTr="00984851">
        <w:tc>
          <w:tcPr>
            <w:tcW w:w="6115" w:type="dxa"/>
          </w:tcPr>
          <w:p w14:paraId="77C9A77A" w14:textId="77777777" w:rsidR="00136F09" w:rsidRPr="0099012A" w:rsidRDefault="00136F09" w:rsidP="00984851">
            <w:pPr>
              <w:ind w:left="720"/>
            </w:pPr>
            <w:r w:rsidRPr="0099012A">
              <w:t>Iranian</w:t>
            </w:r>
          </w:p>
        </w:tc>
        <w:tc>
          <w:tcPr>
            <w:tcW w:w="3235" w:type="dxa"/>
          </w:tcPr>
          <w:p w14:paraId="0E2AF433" w14:textId="77777777" w:rsidR="00136F09" w:rsidRDefault="00136F09" w:rsidP="00984851">
            <w:pPr>
              <w:jc w:val="center"/>
            </w:pPr>
            <w:r>
              <w:t>0.9%</w:t>
            </w:r>
          </w:p>
        </w:tc>
      </w:tr>
      <w:tr w:rsidR="00136F09" w14:paraId="78C79B6A" w14:textId="77777777" w:rsidTr="00984851">
        <w:tc>
          <w:tcPr>
            <w:tcW w:w="6115" w:type="dxa"/>
          </w:tcPr>
          <w:p w14:paraId="5ACB6819" w14:textId="77777777" w:rsidR="00136F09" w:rsidRPr="0099012A" w:rsidRDefault="00136F09" w:rsidP="00984851">
            <w:r w:rsidRPr="0099012A">
              <w:t>Marital Status</w:t>
            </w:r>
          </w:p>
        </w:tc>
        <w:tc>
          <w:tcPr>
            <w:tcW w:w="3235" w:type="dxa"/>
          </w:tcPr>
          <w:p w14:paraId="48657F0B" w14:textId="77777777" w:rsidR="00136F09" w:rsidRDefault="00136F09" w:rsidP="00984851">
            <w:pPr>
              <w:jc w:val="center"/>
            </w:pPr>
          </w:p>
        </w:tc>
      </w:tr>
      <w:tr w:rsidR="00136F09" w14:paraId="212C7594" w14:textId="77777777" w:rsidTr="00984851">
        <w:tc>
          <w:tcPr>
            <w:tcW w:w="6115" w:type="dxa"/>
          </w:tcPr>
          <w:p w14:paraId="1CA22A38" w14:textId="77777777" w:rsidR="00136F09" w:rsidRPr="0099012A" w:rsidRDefault="00136F09" w:rsidP="00984851">
            <w:pPr>
              <w:ind w:left="720"/>
            </w:pPr>
            <w:r w:rsidRPr="0099012A">
              <w:t>Single/Never Married</w:t>
            </w:r>
          </w:p>
        </w:tc>
        <w:tc>
          <w:tcPr>
            <w:tcW w:w="3235" w:type="dxa"/>
          </w:tcPr>
          <w:p w14:paraId="143A71CD" w14:textId="77777777" w:rsidR="00136F09" w:rsidRDefault="00136F09" w:rsidP="00984851">
            <w:pPr>
              <w:jc w:val="center"/>
            </w:pPr>
            <w:r>
              <w:t>38.9%</w:t>
            </w:r>
          </w:p>
        </w:tc>
      </w:tr>
      <w:tr w:rsidR="00136F09" w14:paraId="3A685739" w14:textId="77777777" w:rsidTr="00984851">
        <w:tc>
          <w:tcPr>
            <w:tcW w:w="6115" w:type="dxa"/>
          </w:tcPr>
          <w:p w14:paraId="41A779C5" w14:textId="77777777" w:rsidR="00136F09" w:rsidRPr="0099012A" w:rsidRDefault="00136F09" w:rsidP="00984851">
            <w:pPr>
              <w:ind w:left="720"/>
            </w:pPr>
            <w:r w:rsidRPr="0099012A">
              <w:t>Married</w:t>
            </w:r>
          </w:p>
        </w:tc>
        <w:tc>
          <w:tcPr>
            <w:tcW w:w="3235" w:type="dxa"/>
          </w:tcPr>
          <w:p w14:paraId="50F74D96" w14:textId="77777777" w:rsidR="00136F09" w:rsidRDefault="00136F09" w:rsidP="00984851">
            <w:pPr>
              <w:jc w:val="center"/>
            </w:pPr>
            <w:r>
              <w:t>15.7%</w:t>
            </w:r>
          </w:p>
        </w:tc>
      </w:tr>
      <w:tr w:rsidR="00136F09" w14:paraId="63098106" w14:textId="77777777" w:rsidTr="00984851">
        <w:tc>
          <w:tcPr>
            <w:tcW w:w="6115" w:type="dxa"/>
          </w:tcPr>
          <w:p w14:paraId="4FE6F67B" w14:textId="77777777" w:rsidR="00136F09" w:rsidRPr="0099012A" w:rsidRDefault="00136F09" w:rsidP="00984851">
            <w:pPr>
              <w:ind w:left="720"/>
            </w:pPr>
            <w:r w:rsidRPr="0099012A">
              <w:t>Separated</w:t>
            </w:r>
          </w:p>
        </w:tc>
        <w:tc>
          <w:tcPr>
            <w:tcW w:w="3235" w:type="dxa"/>
          </w:tcPr>
          <w:p w14:paraId="6A8A9F2D" w14:textId="77777777" w:rsidR="00136F09" w:rsidRDefault="00136F09" w:rsidP="00984851">
            <w:pPr>
              <w:jc w:val="center"/>
            </w:pPr>
            <w:r>
              <w:t>0.9%</w:t>
            </w:r>
          </w:p>
        </w:tc>
      </w:tr>
      <w:tr w:rsidR="00136F09" w14:paraId="7EB3BA15" w14:textId="77777777" w:rsidTr="00984851">
        <w:tc>
          <w:tcPr>
            <w:tcW w:w="6115" w:type="dxa"/>
          </w:tcPr>
          <w:p w14:paraId="7EA7B0CC" w14:textId="77777777" w:rsidR="00136F09" w:rsidRPr="0099012A" w:rsidRDefault="00136F09" w:rsidP="00984851">
            <w:pPr>
              <w:ind w:left="720"/>
            </w:pPr>
            <w:r w:rsidRPr="0099012A">
              <w:t>Divorced</w:t>
            </w:r>
          </w:p>
        </w:tc>
        <w:tc>
          <w:tcPr>
            <w:tcW w:w="3235" w:type="dxa"/>
          </w:tcPr>
          <w:p w14:paraId="0236785A" w14:textId="77777777" w:rsidR="00136F09" w:rsidRDefault="00136F09" w:rsidP="00984851">
            <w:pPr>
              <w:jc w:val="center"/>
            </w:pPr>
            <w:r>
              <w:t>13.9%</w:t>
            </w:r>
          </w:p>
        </w:tc>
      </w:tr>
      <w:tr w:rsidR="00136F09" w14:paraId="67C0F681" w14:textId="77777777" w:rsidTr="00984851">
        <w:tc>
          <w:tcPr>
            <w:tcW w:w="6115" w:type="dxa"/>
          </w:tcPr>
          <w:p w14:paraId="4FF6A9F9" w14:textId="77777777" w:rsidR="00136F09" w:rsidRPr="0099012A" w:rsidRDefault="00136F09" w:rsidP="00984851">
            <w:pPr>
              <w:ind w:left="720"/>
            </w:pPr>
            <w:r w:rsidRPr="0099012A">
              <w:t>Widowed</w:t>
            </w:r>
          </w:p>
        </w:tc>
        <w:tc>
          <w:tcPr>
            <w:tcW w:w="3235" w:type="dxa"/>
          </w:tcPr>
          <w:p w14:paraId="44E3870E" w14:textId="77777777" w:rsidR="00136F09" w:rsidRDefault="00136F09" w:rsidP="00984851">
            <w:pPr>
              <w:jc w:val="center"/>
            </w:pPr>
            <w:r>
              <w:t>0.9%</w:t>
            </w:r>
          </w:p>
        </w:tc>
      </w:tr>
      <w:tr w:rsidR="00136F09" w14:paraId="4327554E" w14:textId="77777777" w:rsidTr="00984851">
        <w:tc>
          <w:tcPr>
            <w:tcW w:w="6115" w:type="dxa"/>
          </w:tcPr>
          <w:p w14:paraId="70BDAB92" w14:textId="77777777" w:rsidR="00136F09" w:rsidRPr="0099012A" w:rsidRDefault="00136F09" w:rsidP="00984851">
            <w:pPr>
              <w:ind w:left="720"/>
            </w:pPr>
            <w:r w:rsidRPr="0099012A">
              <w:lastRenderedPageBreak/>
              <w:t>Missing Data</w:t>
            </w:r>
          </w:p>
        </w:tc>
        <w:tc>
          <w:tcPr>
            <w:tcW w:w="3235" w:type="dxa"/>
          </w:tcPr>
          <w:p w14:paraId="376BF1C8" w14:textId="77777777" w:rsidR="00136F09" w:rsidRDefault="00136F09" w:rsidP="00984851">
            <w:pPr>
              <w:jc w:val="center"/>
            </w:pPr>
            <w:r>
              <w:t>29.6%</w:t>
            </w:r>
          </w:p>
        </w:tc>
      </w:tr>
      <w:tr w:rsidR="00136F09" w14:paraId="51AFB581" w14:textId="77777777" w:rsidTr="00984851">
        <w:tc>
          <w:tcPr>
            <w:tcW w:w="6115" w:type="dxa"/>
          </w:tcPr>
          <w:p w14:paraId="57006E65" w14:textId="77777777" w:rsidR="00136F09" w:rsidRPr="0099012A" w:rsidRDefault="00136F09" w:rsidP="00984851">
            <w:r w:rsidRPr="0099012A">
              <w:t>Veteran Status</w:t>
            </w:r>
          </w:p>
        </w:tc>
        <w:tc>
          <w:tcPr>
            <w:tcW w:w="3235" w:type="dxa"/>
          </w:tcPr>
          <w:p w14:paraId="46980975" w14:textId="77777777" w:rsidR="00136F09" w:rsidRDefault="00136F09" w:rsidP="00984851">
            <w:pPr>
              <w:jc w:val="center"/>
            </w:pPr>
          </w:p>
        </w:tc>
      </w:tr>
      <w:tr w:rsidR="00136F09" w14:paraId="263776A5" w14:textId="77777777" w:rsidTr="00984851">
        <w:tc>
          <w:tcPr>
            <w:tcW w:w="6115" w:type="dxa"/>
          </w:tcPr>
          <w:p w14:paraId="5CD2F432" w14:textId="77777777" w:rsidR="00136F09" w:rsidRPr="0099012A" w:rsidRDefault="00136F09" w:rsidP="00984851">
            <w:pPr>
              <w:ind w:left="720"/>
            </w:pPr>
            <w:r w:rsidRPr="0099012A">
              <w:t>Never Served</w:t>
            </w:r>
          </w:p>
        </w:tc>
        <w:tc>
          <w:tcPr>
            <w:tcW w:w="3235" w:type="dxa"/>
          </w:tcPr>
          <w:p w14:paraId="23EF164E" w14:textId="77777777" w:rsidR="00136F09" w:rsidRDefault="00136F09" w:rsidP="00984851">
            <w:pPr>
              <w:jc w:val="center"/>
            </w:pPr>
            <w:r>
              <w:t>57.4%</w:t>
            </w:r>
          </w:p>
        </w:tc>
      </w:tr>
      <w:tr w:rsidR="00136F09" w14:paraId="4CFBBD08" w14:textId="77777777" w:rsidTr="00984851">
        <w:tc>
          <w:tcPr>
            <w:tcW w:w="6115" w:type="dxa"/>
          </w:tcPr>
          <w:p w14:paraId="38CF5648" w14:textId="77777777" w:rsidR="00136F09" w:rsidRPr="0099012A" w:rsidRDefault="00136F09" w:rsidP="00984851">
            <w:pPr>
              <w:ind w:left="720"/>
            </w:pPr>
            <w:r w:rsidRPr="0099012A">
              <w:t>Previously Active Duty</w:t>
            </w:r>
          </w:p>
        </w:tc>
        <w:tc>
          <w:tcPr>
            <w:tcW w:w="3235" w:type="dxa"/>
          </w:tcPr>
          <w:p w14:paraId="052DE6CB" w14:textId="77777777" w:rsidR="00136F09" w:rsidRDefault="00136F09" w:rsidP="00984851">
            <w:pPr>
              <w:jc w:val="center"/>
            </w:pPr>
            <w:r>
              <w:t>1.9%</w:t>
            </w:r>
          </w:p>
        </w:tc>
      </w:tr>
      <w:tr w:rsidR="00136F09" w14:paraId="204D4080" w14:textId="77777777" w:rsidTr="00984851">
        <w:tc>
          <w:tcPr>
            <w:tcW w:w="6115" w:type="dxa"/>
          </w:tcPr>
          <w:p w14:paraId="708FBA17" w14:textId="77777777" w:rsidR="00136F09" w:rsidRPr="0099012A" w:rsidRDefault="00136F09" w:rsidP="00984851">
            <w:pPr>
              <w:ind w:left="720"/>
            </w:pPr>
            <w:r w:rsidRPr="0099012A">
              <w:t>Missing Data</w:t>
            </w:r>
          </w:p>
        </w:tc>
        <w:tc>
          <w:tcPr>
            <w:tcW w:w="3235" w:type="dxa"/>
          </w:tcPr>
          <w:p w14:paraId="54E2EA8F" w14:textId="77777777" w:rsidR="00136F09" w:rsidRDefault="00136F09" w:rsidP="00984851">
            <w:pPr>
              <w:jc w:val="center"/>
            </w:pPr>
            <w:r>
              <w:t>40.7%</w:t>
            </w:r>
          </w:p>
        </w:tc>
      </w:tr>
      <w:tr w:rsidR="00136F09" w14:paraId="09DCA368" w14:textId="77777777" w:rsidTr="00984851">
        <w:tc>
          <w:tcPr>
            <w:tcW w:w="6115" w:type="dxa"/>
          </w:tcPr>
          <w:p w14:paraId="4EB02C17" w14:textId="77777777" w:rsidR="00136F09" w:rsidRPr="0099012A" w:rsidRDefault="00136F09" w:rsidP="00984851">
            <w:r w:rsidRPr="0099012A">
              <w:t>Education</w:t>
            </w:r>
          </w:p>
        </w:tc>
        <w:tc>
          <w:tcPr>
            <w:tcW w:w="3235" w:type="dxa"/>
          </w:tcPr>
          <w:p w14:paraId="57985408" w14:textId="77777777" w:rsidR="00136F09" w:rsidRDefault="00136F09" w:rsidP="00984851">
            <w:pPr>
              <w:jc w:val="center"/>
            </w:pPr>
          </w:p>
        </w:tc>
      </w:tr>
      <w:tr w:rsidR="00136F09" w14:paraId="4F3849F8" w14:textId="77777777" w:rsidTr="00984851">
        <w:tc>
          <w:tcPr>
            <w:tcW w:w="6115" w:type="dxa"/>
          </w:tcPr>
          <w:p w14:paraId="707580DB" w14:textId="77777777" w:rsidR="00136F09" w:rsidRPr="0099012A" w:rsidRDefault="00136F09" w:rsidP="00984851">
            <w:pPr>
              <w:ind w:left="720"/>
            </w:pPr>
            <w:r w:rsidRPr="0099012A">
              <w:t>Grade School</w:t>
            </w:r>
          </w:p>
        </w:tc>
        <w:tc>
          <w:tcPr>
            <w:tcW w:w="3235" w:type="dxa"/>
          </w:tcPr>
          <w:p w14:paraId="66DD349D" w14:textId="77777777" w:rsidR="00136F09" w:rsidRDefault="00136F09" w:rsidP="00984851">
            <w:pPr>
              <w:jc w:val="center"/>
            </w:pPr>
            <w:r>
              <w:t>1.9%</w:t>
            </w:r>
          </w:p>
        </w:tc>
      </w:tr>
      <w:tr w:rsidR="00136F09" w14:paraId="7CFAE1C3" w14:textId="77777777" w:rsidTr="00984851">
        <w:tc>
          <w:tcPr>
            <w:tcW w:w="6115" w:type="dxa"/>
          </w:tcPr>
          <w:p w14:paraId="3D7A8E41" w14:textId="77777777" w:rsidR="00136F09" w:rsidRPr="0099012A" w:rsidRDefault="00136F09" w:rsidP="00984851">
            <w:pPr>
              <w:ind w:left="720"/>
            </w:pPr>
            <w:r w:rsidRPr="0099012A">
              <w:t>Some High School</w:t>
            </w:r>
          </w:p>
        </w:tc>
        <w:tc>
          <w:tcPr>
            <w:tcW w:w="3235" w:type="dxa"/>
          </w:tcPr>
          <w:p w14:paraId="21B02151" w14:textId="77777777" w:rsidR="00136F09" w:rsidRDefault="00136F09" w:rsidP="00984851">
            <w:pPr>
              <w:jc w:val="center"/>
            </w:pPr>
            <w:r>
              <w:t>13%</w:t>
            </w:r>
          </w:p>
        </w:tc>
      </w:tr>
      <w:tr w:rsidR="00136F09" w14:paraId="1A2DAC7F" w14:textId="77777777" w:rsidTr="00984851">
        <w:tc>
          <w:tcPr>
            <w:tcW w:w="6115" w:type="dxa"/>
          </w:tcPr>
          <w:p w14:paraId="3FB3DEAA" w14:textId="77777777" w:rsidR="00136F09" w:rsidRPr="0099012A" w:rsidRDefault="00136F09" w:rsidP="00984851">
            <w:pPr>
              <w:ind w:left="720"/>
            </w:pPr>
            <w:r w:rsidRPr="0099012A">
              <w:t>GED</w:t>
            </w:r>
          </w:p>
        </w:tc>
        <w:tc>
          <w:tcPr>
            <w:tcW w:w="3235" w:type="dxa"/>
          </w:tcPr>
          <w:p w14:paraId="7271FE17" w14:textId="77777777" w:rsidR="00136F09" w:rsidRDefault="00136F09" w:rsidP="00984851">
            <w:pPr>
              <w:jc w:val="center"/>
            </w:pPr>
            <w:r>
              <w:t>1.9%</w:t>
            </w:r>
          </w:p>
        </w:tc>
      </w:tr>
      <w:tr w:rsidR="00136F09" w14:paraId="2CACF188" w14:textId="77777777" w:rsidTr="00984851">
        <w:tc>
          <w:tcPr>
            <w:tcW w:w="6115" w:type="dxa"/>
          </w:tcPr>
          <w:p w14:paraId="653F4C97" w14:textId="77777777" w:rsidR="00136F09" w:rsidRPr="0099012A" w:rsidRDefault="00136F09" w:rsidP="00984851">
            <w:pPr>
              <w:ind w:left="720"/>
            </w:pPr>
            <w:r w:rsidRPr="0099012A">
              <w:t>High School Diploma</w:t>
            </w:r>
          </w:p>
        </w:tc>
        <w:tc>
          <w:tcPr>
            <w:tcW w:w="3235" w:type="dxa"/>
          </w:tcPr>
          <w:p w14:paraId="486A2F7F" w14:textId="77777777" w:rsidR="00136F09" w:rsidRDefault="00136F09" w:rsidP="00984851">
            <w:pPr>
              <w:jc w:val="center"/>
            </w:pPr>
            <w:r>
              <w:t>27.8%</w:t>
            </w:r>
          </w:p>
        </w:tc>
      </w:tr>
      <w:tr w:rsidR="00136F09" w14:paraId="5F48EB28" w14:textId="77777777" w:rsidTr="00984851">
        <w:tc>
          <w:tcPr>
            <w:tcW w:w="6115" w:type="dxa"/>
          </w:tcPr>
          <w:p w14:paraId="01BAB272" w14:textId="77777777" w:rsidR="00136F09" w:rsidRPr="0099012A" w:rsidRDefault="00136F09" w:rsidP="00984851">
            <w:pPr>
              <w:ind w:left="720"/>
            </w:pPr>
            <w:r w:rsidRPr="0099012A">
              <w:t>Some College</w:t>
            </w:r>
          </w:p>
        </w:tc>
        <w:tc>
          <w:tcPr>
            <w:tcW w:w="3235" w:type="dxa"/>
          </w:tcPr>
          <w:p w14:paraId="725C7031" w14:textId="77777777" w:rsidR="00136F09" w:rsidRDefault="00136F09" w:rsidP="00984851">
            <w:pPr>
              <w:jc w:val="center"/>
            </w:pPr>
            <w:r>
              <w:t>8.3%</w:t>
            </w:r>
          </w:p>
        </w:tc>
      </w:tr>
      <w:tr w:rsidR="00136F09" w14:paraId="1CA0F3E2" w14:textId="77777777" w:rsidTr="00984851">
        <w:tc>
          <w:tcPr>
            <w:tcW w:w="6115" w:type="dxa"/>
          </w:tcPr>
          <w:p w14:paraId="0B7248E8" w14:textId="77777777" w:rsidR="00136F09" w:rsidRPr="0099012A" w:rsidRDefault="00136F09" w:rsidP="00984851">
            <w:pPr>
              <w:ind w:left="720"/>
            </w:pPr>
            <w:r w:rsidRPr="0099012A">
              <w:t>Associates Degree</w:t>
            </w:r>
          </w:p>
        </w:tc>
        <w:tc>
          <w:tcPr>
            <w:tcW w:w="3235" w:type="dxa"/>
          </w:tcPr>
          <w:p w14:paraId="3A63AAEC" w14:textId="77777777" w:rsidR="00136F09" w:rsidRDefault="00136F09" w:rsidP="00984851">
            <w:pPr>
              <w:jc w:val="center"/>
            </w:pPr>
            <w:r>
              <w:t>3.7%</w:t>
            </w:r>
          </w:p>
        </w:tc>
      </w:tr>
      <w:tr w:rsidR="00136F09" w14:paraId="45CE2410" w14:textId="77777777" w:rsidTr="00984851">
        <w:tc>
          <w:tcPr>
            <w:tcW w:w="6115" w:type="dxa"/>
          </w:tcPr>
          <w:p w14:paraId="65B8D7E7" w14:textId="77777777" w:rsidR="00136F09" w:rsidRPr="0099012A" w:rsidRDefault="00136F09" w:rsidP="00984851">
            <w:pPr>
              <w:ind w:left="720"/>
            </w:pPr>
            <w:r w:rsidRPr="0099012A">
              <w:t>Bachelor’s Degree</w:t>
            </w:r>
          </w:p>
        </w:tc>
        <w:tc>
          <w:tcPr>
            <w:tcW w:w="3235" w:type="dxa"/>
          </w:tcPr>
          <w:p w14:paraId="7F3F9899" w14:textId="77777777" w:rsidR="00136F09" w:rsidRDefault="00136F09" w:rsidP="00984851">
            <w:pPr>
              <w:jc w:val="center"/>
            </w:pPr>
            <w:r>
              <w:t>1.9%</w:t>
            </w:r>
          </w:p>
        </w:tc>
      </w:tr>
      <w:tr w:rsidR="00136F09" w14:paraId="0588CBDE" w14:textId="77777777" w:rsidTr="00984851">
        <w:tc>
          <w:tcPr>
            <w:tcW w:w="6115" w:type="dxa"/>
          </w:tcPr>
          <w:p w14:paraId="104A44AB" w14:textId="77777777" w:rsidR="00136F09" w:rsidRPr="0099012A" w:rsidRDefault="00136F09" w:rsidP="00984851">
            <w:pPr>
              <w:ind w:left="720"/>
            </w:pPr>
            <w:r w:rsidRPr="0099012A">
              <w:t>Trade School</w:t>
            </w:r>
          </w:p>
        </w:tc>
        <w:tc>
          <w:tcPr>
            <w:tcW w:w="3235" w:type="dxa"/>
          </w:tcPr>
          <w:p w14:paraId="0C391935" w14:textId="77777777" w:rsidR="00136F09" w:rsidRDefault="00136F09" w:rsidP="00984851">
            <w:pPr>
              <w:jc w:val="center"/>
            </w:pPr>
            <w:r>
              <w:t>0.9%</w:t>
            </w:r>
          </w:p>
        </w:tc>
      </w:tr>
      <w:tr w:rsidR="00136F09" w14:paraId="3A37C566" w14:textId="77777777" w:rsidTr="00984851">
        <w:tc>
          <w:tcPr>
            <w:tcW w:w="6115" w:type="dxa"/>
          </w:tcPr>
          <w:p w14:paraId="6C01AD4E" w14:textId="77777777" w:rsidR="00136F09" w:rsidRPr="0099012A" w:rsidRDefault="00136F09" w:rsidP="00984851">
            <w:pPr>
              <w:ind w:left="720"/>
            </w:pPr>
            <w:r>
              <w:t>Missing Data</w:t>
            </w:r>
          </w:p>
        </w:tc>
        <w:tc>
          <w:tcPr>
            <w:tcW w:w="3235" w:type="dxa"/>
          </w:tcPr>
          <w:p w14:paraId="1762893E" w14:textId="77777777" w:rsidR="00136F09" w:rsidRDefault="00136F09" w:rsidP="00984851">
            <w:pPr>
              <w:jc w:val="center"/>
            </w:pPr>
            <w:r>
              <w:t>40.7%</w:t>
            </w:r>
          </w:p>
        </w:tc>
      </w:tr>
      <w:tr w:rsidR="00136F09" w14:paraId="2C261117" w14:textId="77777777" w:rsidTr="00984851">
        <w:tc>
          <w:tcPr>
            <w:tcW w:w="6115" w:type="dxa"/>
          </w:tcPr>
          <w:p w14:paraId="089CA48A" w14:textId="77777777" w:rsidR="00136F09" w:rsidRPr="0099012A" w:rsidRDefault="00136F09" w:rsidP="00984851">
            <w:r w:rsidRPr="0099012A">
              <w:t>Occupation</w:t>
            </w:r>
          </w:p>
        </w:tc>
        <w:tc>
          <w:tcPr>
            <w:tcW w:w="3235" w:type="dxa"/>
          </w:tcPr>
          <w:p w14:paraId="7C60E45F" w14:textId="77777777" w:rsidR="00136F09" w:rsidRDefault="00136F09" w:rsidP="00984851">
            <w:pPr>
              <w:jc w:val="center"/>
            </w:pPr>
          </w:p>
        </w:tc>
      </w:tr>
      <w:tr w:rsidR="00136F09" w14:paraId="5B4D1830" w14:textId="77777777" w:rsidTr="00984851">
        <w:tc>
          <w:tcPr>
            <w:tcW w:w="6115" w:type="dxa"/>
          </w:tcPr>
          <w:p w14:paraId="4B6A6D81" w14:textId="77777777" w:rsidR="00136F09" w:rsidRPr="0099012A" w:rsidRDefault="00136F09" w:rsidP="00984851">
            <w:pPr>
              <w:ind w:left="720"/>
            </w:pPr>
            <w:r w:rsidRPr="0099012A">
              <w:t>Management</w:t>
            </w:r>
          </w:p>
        </w:tc>
        <w:tc>
          <w:tcPr>
            <w:tcW w:w="3235" w:type="dxa"/>
          </w:tcPr>
          <w:p w14:paraId="4CF7D903" w14:textId="77777777" w:rsidR="00136F09" w:rsidRDefault="00136F09" w:rsidP="00984851">
            <w:pPr>
              <w:jc w:val="center"/>
            </w:pPr>
            <w:r>
              <w:t>0.9%</w:t>
            </w:r>
          </w:p>
        </w:tc>
      </w:tr>
      <w:tr w:rsidR="00136F09" w14:paraId="539A1AE3" w14:textId="77777777" w:rsidTr="00984851">
        <w:tc>
          <w:tcPr>
            <w:tcW w:w="6115" w:type="dxa"/>
          </w:tcPr>
          <w:p w14:paraId="37A5C9F2" w14:textId="77777777" w:rsidR="00136F09" w:rsidRPr="0099012A" w:rsidRDefault="00136F09" w:rsidP="00984851">
            <w:pPr>
              <w:ind w:left="720"/>
            </w:pPr>
            <w:r w:rsidRPr="0099012A">
              <w:t>Business and Financial Operations</w:t>
            </w:r>
          </w:p>
        </w:tc>
        <w:tc>
          <w:tcPr>
            <w:tcW w:w="3235" w:type="dxa"/>
          </w:tcPr>
          <w:p w14:paraId="6E4120F4" w14:textId="77777777" w:rsidR="00136F09" w:rsidRDefault="00136F09" w:rsidP="00984851">
            <w:pPr>
              <w:jc w:val="center"/>
            </w:pPr>
            <w:r>
              <w:t>1.9%</w:t>
            </w:r>
          </w:p>
        </w:tc>
      </w:tr>
      <w:tr w:rsidR="00136F09" w14:paraId="6695F830" w14:textId="77777777" w:rsidTr="00984851">
        <w:tc>
          <w:tcPr>
            <w:tcW w:w="6115" w:type="dxa"/>
          </w:tcPr>
          <w:p w14:paraId="5A06662F" w14:textId="77777777" w:rsidR="00136F09" w:rsidRPr="0099012A" w:rsidRDefault="00136F09" w:rsidP="00984851">
            <w:pPr>
              <w:ind w:left="720"/>
            </w:pPr>
            <w:r w:rsidRPr="0099012A">
              <w:t>Community and Social Services</w:t>
            </w:r>
          </w:p>
        </w:tc>
        <w:tc>
          <w:tcPr>
            <w:tcW w:w="3235" w:type="dxa"/>
          </w:tcPr>
          <w:p w14:paraId="428AEC3F" w14:textId="77777777" w:rsidR="00136F09" w:rsidRDefault="00136F09" w:rsidP="00984851">
            <w:pPr>
              <w:jc w:val="center"/>
            </w:pPr>
            <w:r>
              <w:t>0.9%</w:t>
            </w:r>
          </w:p>
        </w:tc>
      </w:tr>
      <w:tr w:rsidR="00136F09" w14:paraId="4FD5E5E5" w14:textId="77777777" w:rsidTr="00984851">
        <w:tc>
          <w:tcPr>
            <w:tcW w:w="6115" w:type="dxa"/>
          </w:tcPr>
          <w:p w14:paraId="225F3855" w14:textId="77777777" w:rsidR="00136F09" w:rsidRPr="0099012A" w:rsidRDefault="00136F09" w:rsidP="00984851">
            <w:pPr>
              <w:ind w:left="720"/>
            </w:pPr>
            <w:r w:rsidRPr="0099012A">
              <w:t>Legal</w:t>
            </w:r>
          </w:p>
        </w:tc>
        <w:tc>
          <w:tcPr>
            <w:tcW w:w="3235" w:type="dxa"/>
          </w:tcPr>
          <w:p w14:paraId="3A00E820" w14:textId="77777777" w:rsidR="00136F09" w:rsidRDefault="00136F09" w:rsidP="00984851">
            <w:pPr>
              <w:jc w:val="center"/>
            </w:pPr>
            <w:r>
              <w:t>0.9%</w:t>
            </w:r>
          </w:p>
        </w:tc>
      </w:tr>
      <w:tr w:rsidR="00136F09" w14:paraId="06D93273" w14:textId="77777777" w:rsidTr="00984851">
        <w:tc>
          <w:tcPr>
            <w:tcW w:w="6115" w:type="dxa"/>
          </w:tcPr>
          <w:p w14:paraId="5BE16CF6" w14:textId="77777777" w:rsidR="00136F09" w:rsidRPr="0099012A" w:rsidRDefault="00136F09" w:rsidP="00984851">
            <w:pPr>
              <w:ind w:left="720"/>
            </w:pPr>
            <w:r w:rsidRPr="0099012A">
              <w:t>Art, Design, Entertainment, Sports, and Media</w:t>
            </w:r>
          </w:p>
        </w:tc>
        <w:tc>
          <w:tcPr>
            <w:tcW w:w="3235" w:type="dxa"/>
          </w:tcPr>
          <w:p w14:paraId="721E1359" w14:textId="77777777" w:rsidR="00136F09" w:rsidRDefault="00136F09" w:rsidP="00984851">
            <w:pPr>
              <w:jc w:val="center"/>
            </w:pPr>
            <w:r>
              <w:t>0.9%</w:t>
            </w:r>
          </w:p>
        </w:tc>
      </w:tr>
      <w:tr w:rsidR="00136F09" w14:paraId="5A918328" w14:textId="77777777" w:rsidTr="00984851">
        <w:tc>
          <w:tcPr>
            <w:tcW w:w="6115" w:type="dxa"/>
          </w:tcPr>
          <w:p w14:paraId="557115A8" w14:textId="77777777" w:rsidR="00136F09" w:rsidRPr="0099012A" w:rsidRDefault="00136F09" w:rsidP="00984851">
            <w:pPr>
              <w:ind w:left="720"/>
            </w:pPr>
            <w:r w:rsidRPr="0099012A">
              <w:t>Healthcare – Practitioners and Technical</w:t>
            </w:r>
          </w:p>
        </w:tc>
        <w:tc>
          <w:tcPr>
            <w:tcW w:w="3235" w:type="dxa"/>
          </w:tcPr>
          <w:p w14:paraId="6E58AA7E" w14:textId="77777777" w:rsidR="00136F09" w:rsidRDefault="00136F09" w:rsidP="00984851">
            <w:pPr>
              <w:jc w:val="center"/>
            </w:pPr>
            <w:r>
              <w:t>1.9%</w:t>
            </w:r>
          </w:p>
        </w:tc>
      </w:tr>
      <w:tr w:rsidR="00136F09" w14:paraId="0BE3F091" w14:textId="77777777" w:rsidTr="00984851">
        <w:tc>
          <w:tcPr>
            <w:tcW w:w="6115" w:type="dxa"/>
          </w:tcPr>
          <w:p w14:paraId="1B617837" w14:textId="77777777" w:rsidR="00136F09" w:rsidRPr="0099012A" w:rsidRDefault="00136F09" w:rsidP="00984851">
            <w:pPr>
              <w:ind w:left="720"/>
            </w:pPr>
            <w:r w:rsidRPr="0099012A">
              <w:t>Healthcare Support</w:t>
            </w:r>
          </w:p>
        </w:tc>
        <w:tc>
          <w:tcPr>
            <w:tcW w:w="3235" w:type="dxa"/>
          </w:tcPr>
          <w:p w14:paraId="054D91ED" w14:textId="77777777" w:rsidR="00136F09" w:rsidRDefault="00136F09" w:rsidP="00984851">
            <w:pPr>
              <w:jc w:val="center"/>
            </w:pPr>
            <w:r>
              <w:t>0.9%</w:t>
            </w:r>
          </w:p>
        </w:tc>
      </w:tr>
      <w:tr w:rsidR="00136F09" w14:paraId="750EAAE9" w14:textId="77777777" w:rsidTr="00984851">
        <w:tc>
          <w:tcPr>
            <w:tcW w:w="6115" w:type="dxa"/>
          </w:tcPr>
          <w:p w14:paraId="42909862" w14:textId="77777777" w:rsidR="00136F09" w:rsidRPr="0099012A" w:rsidRDefault="00136F09" w:rsidP="00984851">
            <w:pPr>
              <w:ind w:left="720"/>
            </w:pPr>
            <w:r w:rsidRPr="0099012A">
              <w:t>Food Preparation and Serving Related</w:t>
            </w:r>
          </w:p>
        </w:tc>
        <w:tc>
          <w:tcPr>
            <w:tcW w:w="3235" w:type="dxa"/>
          </w:tcPr>
          <w:p w14:paraId="4032B9CC" w14:textId="77777777" w:rsidR="00136F09" w:rsidRDefault="00136F09" w:rsidP="00984851">
            <w:pPr>
              <w:jc w:val="center"/>
            </w:pPr>
            <w:r>
              <w:t>4.6%</w:t>
            </w:r>
          </w:p>
        </w:tc>
      </w:tr>
      <w:tr w:rsidR="00136F09" w14:paraId="5025C32F" w14:textId="77777777" w:rsidTr="00984851">
        <w:tc>
          <w:tcPr>
            <w:tcW w:w="6115" w:type="dxa"/>
          </w:tcPr>
          <w:p w14:paraId="4EBFAAC0" w14:textId="77777777" w:rsidR="00136F09" w:rsidRPr="0099012A" w:rsidRDefault="00136F09" w:rsidP="00984851">
            <w:pPr>
              <w:ind w:left="720"/>
            </w:pPr>
            <w:r w:rsidRPr="0099012A">
              <w:t>Personal Care and Service</w:t>
            </w:r>
          </w:p>
        </w:tc>
        <w:tc>
          <w:tcPr>
            <w:tcW w:w="3235" w:type="dxa"/>
          </w:tcPr>
          <w:p w14:paraId="2A065634" w14:textId="77777777" w:rsidR="00136F09" w:rsidRDefault="00136F09" w:rsidP="00984851">
            <w:pPr>
              <w:jc w:val="center"/>
            </w:pPr>
            <w:r>
              <w:t>1.9%</w:t>
            </w:r>
          </w:p>
        </w:tc>
      </w:tr>
      <w:tr w:rsidR="00136F09" w14:paraId="37ADDBE3" w14:textId="77777777" w:rsidTr="00984851">
        <w:tc>
          <w:tcPr>
            <w:tcW w:w="6115" w:type="dxa"/>
          </w:tcPr>
          <w:p w14:paraId="53BDC80D" w14:textId="77777777" w:rsidR="00136F09" w:rsidRPr="0099012A" w:rsidRDefault="00136F09" w:rsidP="00984851">
            <w:pPr>
              <w:ind w:left="720"/>
            </w:pPr>
            <w:r w:rsidRPr="0099012A">
              <w:t>Building/Ground Cleaning and Maintenance</w:t>
            </w:r>
          </w:p>
        </w:tc>
        <w:tc>
          <w:tcPr>
            <w:tcW w:w="3235" w:type="dxa"/>
          </w:tcPr>
          <w:p w14:paraId="32B07CBB" w14:textId="77777777" w:rsidR="00136F09" w:rsidRDefault="00136F09" w:rsidP="00984851">
            <w:pPr>
              <w:jc w:val="center"/>
            </w:pPr>
            <w:r>
              <w:t>0.9%</w:t>
            </w:r>
          </w:p>
        </w:tc>
      </w:tr>
      <w:tr w:rsidR="00136F09" w14:paraId="2DC51B7B" w14:textId="77777777" w:rsidTr="00984851">
        <w:tc>
          <w:tcPr>
            <w:tcW w:w="6115" w:type="dxa"/>
          </w:tcPr>
          <w:p w14:paraId="23D97805" w14:textId="77777777" w:rsidR="00136F09" w:rsidRPr="0099012A" w:rsidRDefault="00136F09" w:rsidP="00984851">
            <w:pPr>
              <w:ind w:left="720"/>
            </w:pPr>
            <w:r w:rsidRPr="0099012A">
              <w:t>Sales and Related</w:t>
            </w:r>
          </w:p>
        </w:tc>
        <w:tc>
          <w:tcPr>
            <w:tcW w:w="3235" w:type="dxa"/>
          </w:tcPr>
          <w:p w14:paraId="68DE2883" w14:textId="77777777" w:rsidR="00136F09" w:rsidRDefault="00136F09" w:rsidP="00984851">
            <w:pPr>
              <w:jc w:val="center"/>
            </w:pPr>
            <w:r>
              <w:t>5.6%</w:t>
            </w:r>
          </w:p>
        </w:tc>
      </w:tr>
      <w:tr w:rsidR="00136F09" w14:paraId="440ECDFD" w14:textId="77777777" w:rsidTr="00984851">
        <w:tc>
          <w:tcPr>
            <w:tcW w:w="6115" w:type="dxa"/>
          </w:tcPr>
          <w:p w14:paraId="7DBC1B1E" w14:textId="77777777" w:rsidR="00136F09" w:rsidRPr="0099012A" w:rsidRDefault="00136F09" w:rsidP="00984851">
            <w:pPr>
              <w:ind w:left="720"/>
            </w:pPr>
            <w:r w:rsidRPr="0099012A">
              <w:t>Office and Administrative Support</w:t>
            </w:r>
          </w:p>
        </w:tc>
        <w:tc>
          <w:tcPr>
            <w:tcW w:w="3235" w:type="dxa"/>
          </w:tcPr>
          <w:p w14:paraId="34693B25" w14:textId="77777777" w:rsidR="00136F09" w:rsidRDefault="00136F09" w:rsidP="00984851">
            <w:pPr>
              <w:jc w:val="center"/>
            </w:pPr>
            <w:r>
              <w:t>3.7%</w:t>
            </w:r>
          </w:p>
        </w:tc>
      </w:tr>
      <w:tr w:rsidR="00136F09" w14:paraId="029D4FFA" w14:textId="77777777" w:rsidTr="00984851">
        <w:tc>
          <w:tcPr>
            <w:tcW w:w="6115" w:type="dxa"/>
          </w:tcPr>
          <w:p w14:paraId="07012AB2" w14:textId="77777777" w:rsidR="00136F09" w:rsidRPr="0099012A" w:rsidRDefault="00136F09" w:rsidP="00984851">
            <w:pPr>
              <w:ind w:left="720"/>
            </w:pPr>
            <w:r w:rsidRPr="0099012A">
              <w:t>Construction and Extraction</w:t>
            </w:r>
          </w:p>
        </w:tc>
        <w:tc>
          <w:tcPr>
            <w:tcW w:w="3235" w:type="dxa"/>
          </w:tcPr>
          <w:p w14:paraId="52CFA297" w14:textId="77777777" w:rsidR="00136F09" w:rsidRDefault="00136F09" w:rsidP="00984851">
            <w:pPr>
              <w:jc w:val="center"/>
            </w:pPr>
            <w:r>
              <w:t>13%</w:t>
            </w:r>
          </w:p>
        </w:tc>
      </w:tr>
      <w:tr w:rsidR="00136F09" w14:paraId="24594D4F" w14:textId="77777777" w:rsidTr="00984851">
        <w:tc>
          <w:tcPr>
            <w:tcW w:w="6115" w:type="dxa"/>
          </w:tcPr>
          <w:p w14:paraId="6811EA7B" w14:textId="77777777" w:rsidR="00136F09" w:rsidRPr="0099012A" w:rsidRDefault="00136F09" w:rsidP="00984851">
            <w:pPr>
              <w:ind w:left="720"/>
            </w:pPr>
            <w:r w:rsidRPr="0099012A">
              <w:t>Installation, Maintenance, and Repair</w:t>
            </w:r>
          </w:p>
        </w:tc>
        <w:tc>
          <w:tcPr>
            <w:tcW w:w="3235" w:type="dxa"/>
          </w:tcPr>
          <w:p w14:paraId="125D6786" w14:textId="77777777" w:rsidR="00136F09" w:rsidRDefault="00136F09" w:rsidP="00984851">
            <w:pPr>
              <w:jc w:val="center"/>
            </w:pPr>
            <w:r>
              <w:t>9.3%</w:t>
            </w:r>
          </w:p>
        </w:tc>
      </w:tr>
      <w:tr w:rsidR="00136F09" w14:paraId="44E3D226" w14:textId="77777777" w:rsidTr="00984851">
        <w:tc>
          <w:tcPr>
            <w:tcW w:w="6115" w:type="dxa"/>
          </w:tcPr>
          <w:p w14:paraId="10F78A12" w14:textId="77777777" w:rsidR="00136F09" w:rsidRPr="0099012A" w:rsidRDefault="00136F09" w:rsidP="00984851">
            <w:pPr>
              <w:ind w:left="720"/>
            </w:pPr>
            <w:r w:rsidRPr="0099012A">
              <w:t>Production</w:t>
            </w:r>
          </w:p>
        </w:tc>
        <w:tc>
          <w:tcPr>
            <w:tcW w:w="3235" w:type="dxa"/>
          </w:tcPr>
          <w:p w14:paraId="03789B20" w14:textId="77777777" w:rsidR="00136F09" w:rsidRDefault="00136F09" w:rsidP="00984851">
            <w:pPr>
              <w:jc w:val="center"/>
            </w:pPr>
            <w:r>
              <w:t>1.9%</w:t>
            </w:r>
          </w:p>
        </w:tc>
      </w:tr>
      <w:tr w:rsidR="00136F09" w14:paraId="712B7D21" w14:textId="77777777" w:rsidTr="00984851">
        <w:tc>
          <w:tcPr>
            <w:tcW w:w="6115" w:type="dxa"/>
          </w:tcPr>
          <w:p w14:paraId="7301C621" w14:textId="77777777" w:rsidR="00136F09" w:rsidRPr="0099012A" w:rsidRDefault="00136F09" w:rsidP="00984851">
            <w:pPr>
              <w:ind w:left="720"/>
            </w:pPr>
            <w:r w:rsidRPr="0099012A">
              <w:t>Transportation and Material Moving</w:t>
            </w:r>
          </w:p>
        </w:tc>
        <w:tc>
          <w:tcPr>
            <w:tcW w:w="3235" w:type="dxa"/>
          </w:tcPr>
          <w:p w14:paraId="261AE763" w14:textId="77777777" w:rsidR="00136F09" w:rsidRDefault="00136F09" w:rsidP="00984851">
            <w:pPr>
              <w:jc w:val="center"/>
            </w:pPr>
            <w:r>
              <w:t>1.9%</w:t>
            </w:r>
          </w:p>
        </w:tc>
      </w:tr>
      <w:tr w:rsidR="00136F09" w14:paraId="42BBE112" w14:textId="77777777" w:rsidTr="00984851">
        <w:tc>
          <w:tcPr>
            <w:tcW w:w="6115" w:type="dxa"/>
          </w:tcPr>
          <w:p w14:paraId="2C6C55B9" w14:textId="77777777" w:rsidR="00136F09" w:rsidRPr="0099012A" w:rsidRDefault="00136F09" w:rsidP="00984851">
            <w:pPr>
              <w:ind w:left="720"/>
            </w:pPr>
            <w:r w:rsidRPr="0099012A">
              <w:t>Homemaker</w:t>
            </w:r>
          </w:p>
        </w:tc>
        <w:tc>
          <w:tcPr>
            <w:tcW w:w="3235" w:type="dxa"/>
          </w:tcPr>
          <w:p w14:paraId="53216210" w14:textId="77777777" w:rsidR="00136F09" w:rsidRDefault="00136F09" w:rsidP="00984851">
            <w:pPr>
              <w:jc w:val="center"/>
            </w:pPr>
            <w:r>
              <w:t>2.8%</w:t>
            </w:r>
          </w:p>
        </w:tc>
      </w:tr>
      <w:tr w:rsidR="00136F09" w14:paraId="650AF7EF" w14:textId="77777777" w:rsidTr="00984851">
        <w:tc>
          <w:tcPr>
            <w:tcW w:w="6115" w:type="dxa"/>
          </w:tcPr>
          <w:p w14:paraId="3CB64089" w14:textId="77777777" w:rsidR="00136F09" w:rsidRPr="0099012A" w:rsidRDefault="00136F09" w:rsidP="00984851">
            <w:pPr>
              <w:ind w:left="720"/>
            </w:pPr>
            <w:r w:rsidRPr="0099012A">
              <w:t>Disability/Public Service</w:t>
            </w:r>
          </w:p>
        </w:tc>
        <w:tc>
          <w:tcPr>
            <w:tcW w:w="3235" w:type="dxa"/>
          </w:tcPr>
          <w:p w14:paraId="36D6AF2C" w14:textId="77777777" w:rsidR="00136F09" w:rsidRDefault="00136F09" w:rsidP="00984851">
            <w:pPr>
              <w:jc w:val="center"/>
            </w:pPr>
            <w:r>
              <w:t>1.9%</w:t>
            </w:r>
          </w:p>
        </w:tc>
      </w:tr>
      <w:tr w:rsidR="00136F09" w14:paraId="11CC48EC" w14:textId="77777777" w:rsidTr="00984851">
        <w:tc>
          <w:tcPr>
            <w:tcW w:w="6115" w:type="dxa"/>
          </w:tcPr>
          <w:p w14:paraId="70D67A91" w14:textId="77777777" w:rsidR="00136F09" w:rsidRPr="0099012A" w:rsidRDefault="00136F09" w:rsidP="00984851">
            <w:pPr>
              <w:ind w:left="720"/>
            </w:pPr>
            <w:r w:rsidRPr="0099012A">
              <w:t>Student</w:t>
            </w:r>
          </w:p>
        </w:tc>
        <w:tc>
          <w:tcPr>
            <w:tcW w:w="3235" w:type="dxa"/>
          </w:tcPr>
          <w:p w14:paraId="6F28F858" w14:textId="77777777" w:rsidR="00136F09" w:rsidRDefault="00136F09" w:rsidP="00984851">
            <w:pPr>
              <w:jc w:val="center"/>
            </w:pPr>
            <w:r>
              <w:t>0.9%</w:t>
            </w:r>
          </w:p>
        </w:tc>
      </w:tr>
      <w:tr w:rsidR="00136F09" w14:paraId="63129060" w14:textId="77777777" w:rsidTr="00984851">
        <w:tc>
          <w:tcPr>
            <w:tcW w:w="6115" w:type="dxa"/>
            <w:tcBorders>
              <w:bottom w:val="single" w:sz="12" w:space="0" w:color="auto"/>
            </w:tcBorders>
          </w:tcPr>
          <w:p w14:paraId="65165070" w14:textId="77777777" w:rsidR="00136F09" w:rsidRPr="0099012A" w:rsidRDefault="00136F09" w:rsidP="00984851">
            <w:pPr>
              <w:ind w:left="720"/>
            </w:pPr>
            <w:r w:rsidRPr="0099012A">
              <w:t>Missing Data</w:t>
            </w:r>
          </w:p>
        </w:tc>
        <w:tc>
          <w:tcPr>
            <w:tcW w:w="3235" w:type="dxa"/>
            <w:tcBorders>
              <w:bottom w:val="single" w:sz="12" w:space="0" w:color="auto"/>
            </w:tcBorders>
          </w:tcPr>
          <w:p w14:paraId="2418B633" w14:textId="77777777" w:rsidR="00136F09" w:rsidRDefault="00136F09" w:rsidP="00984851">
            <w:pPr>
              <w:jc w:val="center"/>
            </w:pPr>
            <w:r>
              <w:t>43.5%</w:t>
            </w:r>
          </w:p>
        </w:tc>
      </w:tr>
    </w:tbl>
    <w:p w14:paraId="417E00E3" w14:textId="47C33C8B" w:rsidR="00136F09" w:rsidRDefault="001B4A4F" w:rsidP="00D35C84">
      <w:pPr>
        <w:spacing w:line="480" w:lineRule="auto"/>
      </w:pPr>
      <w:r>
        <w:t>Table 1: Demographic Information</w:t>
      </w:r>
    </w:p>
    <w:p w14:paraId="5FC70900" w14:textId="77777777" w:rsidR="00DF34B3" w:rsidRDefault="00FC2B65" w:rsidP="00FC2B65">
      <w:pPr>
        <w:spacing w:line="480" w:lineRule="auto"/>
      </w:pPr>
      <w:r>
        <w:tab/>
        <w:t xml:space="preserve">Most individuals who died from a fatal overdose in 2020 had fentanyl in their system at the time of death (92.9%). </w:t>
      </w:r>
    </w:p>
    <w:p w14:paraId="692905B5" w14:textId="4821C5A0" w:rsidR="00FC2B65" w:rsidRPr="00FC2B65" w:rsidRDefault="00FC2B65" w:rsidP="00390D2F">
      <w:pPr>
        <w:spacing w:line="480" w:lineRule="auto"/>
        <w:ind w:firstLine="720"/>
      </w:pPr>
      <w:r w:rsidRPr="00FC2B65">
        <w:t xml:space="preserve">We have </w:t>
      </w:r>
      <w:r w:rsidR="00DF34B3">
        <w:t>developed</w:t>
      </w:r>
      <w:r w:rsidR="00DF34B3" w:rsidRPr="00FC2B65">
        <w:t xml:space="preserve"> </w:t>
      </w:r>
      <w:r w:rsidRPr="00FC2B65">
        <w:t xml:space="preserve">the following recommendations based on our analysis of data collected from death certificates, medical records, legal records, and treatment history. We </w:t>
      </w:r>
      <w:r w:rsidRPr="00FC2B65">
        <w:lastRenderedPageBreak/>
        <w:t>specifically propose the following recommendations to combat the morbidity and mortality of Delaware's opioid cris</w:t>
      </w:r>
      <w:r w:rsidR="00DF34B3">
        <w:t>i</w:t>
      </w:r>
      <w:r w:rsidRPr="00FC2B65">
        <w:t>s:</w:t>
      </w:r>
    </w:p>
    <w:p w14:paraId="3464A189" w14:textId="59174584" w:rsidR="00C679B2" w:rsidRPr="00C679B2" w:rsidRDefault="001E41F2" w:rsidP="00C679B2">
      <w:pPr>
        <w:pStyle w:val="ListParagraph"/>
        <w:numPr>
          <w:ilvl w:val="0"/>
          <w:numId w:val="1"/>
        </w:numPr>
        <w:spacing w:line="480" w:lineRule="auto"/>
        <w:rPr>
          <w:b/>
          <w:bCs/>
        </w:rPr>
      </w:pPr>
      <w:r>
        <w:rPr>
          <w:b/>
          <w:bCs/>
        </w:rPr>
        <w:t xml:space="preserve">Incorporate </w:t>
      </w:r>
      <w:r w:rsidRPr="00C679B2">
        <w:rPr>
          <w:b/>
          <w:bCs/>
        </w:rPr>
        <w:t>mental health and trauma</w:t>
      </w:r>
      <w:r>
        <w:rPr>
          <w:b/>
          <w:bCs/>
        </w:rPr>
        <w:t>-centered</w:t>
      </w:r>
      <w:r w:rsidRPr="00C679B2">
        <w:rPr>
          <w:b/>
          <w:bCs/>
        </w:rPr>
        <w:t xml:space="preserve"> practices </w:t>
      </w:r>
      <w:r>
        <w:rPr>
          <w:b/>
          <w:bCs/>
        </w:rPr>
        <w:t>into s</w:t>
      </w:r>
      <w:r w:rsidRPr="00C679B2">
        <w:rPr>
          <w:b/>
          <w:bCs/>
        </w:rPr>
        <w:t xml:space="preserve">ervices </w:t>
      </w:r>
      <w:r w:rsidR="00C679B2" w:rsidRPr="00C679B2">
        <w:rPr>
          <w:b/>
          <w:bCs/>
        </w:rPr>
        <w:t xml:space="preserve">addressing </w:t>
      </w:r>
      <w:r w:rsidR="00DF34B3">
        <w:rPr>
          <w:b/>
          <w:bCs/>
        </w:rPr>
        <w:t>substance use disorder (</w:t>
      </w:r>
      <w:r w:rsidR="00C679B2" w:rsidRPr="00C679B2">
        <w:rPr>
          <w:b/>
          <w:bCs/>
        </w:rPr>
        <w:t>SUD</w:t>
      </w:r>
      <w:r w:rsidR="00DF34B3">
        <w:rPr>
          <w:b/>
          <w:bCs/>
        </w:rPr>
        <w:t>)</w:t>
      </w:r>
      <w:r w:rsidR="00C679B2" w:rsidRPr="00C679B2">
        <w:rPr>
          <w:b/>
          <w:bCs/>
        </w:rPr>
        <w:t>, moving towards a whole-person approach for treatment.</w:t>
      </w:r>
    </w:p>
    <w:p w14:paraId="5DAE80BA" w14:textId="169F1185" w:rsidR="00D35C84" w:rsidRPr="008641B4" w:rsidRDefault="00C649BE" w:rsidP="00C679B2">
      <w:pPr>
        <w:pStyle w:val="ListParagraph"/>
        <w:numPr>
          <w:ilvl w:val="0"/>
          <w:numId w:val="1"/>
        </w:numPr>
        <w:spacing w:line="480" w:lineRule="auto"/>
      </w:pPr>
      <w:r>
        <w:rPr>
          <w:b/>
          <w:bCs/>
        </w:rPr>
        <w:t>Broaden</w:t>
      </w:r>
      <w:r w:rsidR="00C679B2" w:rsidRPr="00C679B2">
        <w:rPr>
          <w:b/>
          <w:bCs/>
        </w:rPr>
        <w:t xml:space="preserve"> non-opioid alternative options for individuals with chronic pain.</w:t>
      </w:r>
    </w:p>
    <w:p w14:paraId="302BD70E" w14:textId="77777777" w:rsidR="00FA1ACC" w:rsidRDefault="00FA1ACC" w:rsidP="008641B4">
      <w:pPr>
        <w:spacing w:line="480" w:lineRule="auto"/>
      </w:pPr>
    </w:p>
    <w:p w14:paraId="4249983E" w14:textId="7F1064A2" w:rsidR="00FA1ACC" w:rsidRPr="00390D2F" w:rsidRDefault="008641B4" w:rsidP="00390D2F">
      <w:pPr>
        <w:spacing w:line="480" w:lineRule="auto"/>
        <w:rPr>
          <w:b/>
          <w:bCs/>
        </w:rPr>
      </w:pPr>
      <w:r w:rsidRPr="00390D2F">
        <w:rPr>
          <w:b/>
          <w:bCs/>
          <w:i/>
          <w:iCs/>
        </w:rPr>
        <w:t xml:space="preserve">Recommendation 1: </w:t>
      </w:r>
      <w:r w:rsidR="00FA1ACC" w:rsidRPr="00390D2F">
        <w:rPr>
          <w:b/>
          <w:bCs/>
        </w:rPr>
        <w:t>Incorporate mental health and trauma-centered practices into services addressing substance use disorder (SUD), moving towards a whole-person approach for treatment.</w:t>
      </w:r>
    </w:p>
    <w:p w14:paraId="47CED32F" w14:textId="72FCBCB6" w:rsidR="008641B4" w:rsidRDefault="001166D1" w:rsidP="008641B4">
      <w:pPr>
        <w:spacing w:line="480" w:lineRule="auto"/>
      </w:pPr>
      <w:r>
        <w:tab/>
      </w:r>
      <w:r w:rsidR="00FA1ACC">
        <w:t xml:space="preserve">Mental health diagnoses were identified in 42.0% </w:t>
      </w:r>
      <w:r>
        <w:t xml:space="preserve">of 2020’s fatal overdose victims. </w:t>
      </w:r>
      <w:r w:rsidR="001B4A4F">
        <w:t xml:space="preserve">Table 2 below highlights the </w:t>
      </w:r>
      <w:r w:rsidR="00A345AF">
        <w:t xml:space="preserve">prevalence of individual </w:t>
      </w:r>
      <w:r w:rsidR="001B4A4F">
        <w:t>diagnos</w:t>
      </w:r>
      <w:r w:rsidR="00A345AF">
        <w:t>e</w:t>
      </w:r>
      <w:r w:rsidR="001B4A4F">
        <w:t>s</w:t>
      </w:r>
      <w:r w:rsidR="00A345AF">
        <w:t xml:space="preserve"> within</w:t>
      </w:r>
      <w:r w:rsidR="001B4A4F">
        <w:t xml:space="preserve"> the </w:t>
      </w:r>
      <w:r w:rsidR="00A345AF">
        <w:t xml:space="preserve">total </w:t>
      </w:r>
      <w:r w:rsidR="001B4A4F">
        <w:t xml:space="preserve">sample and </w:t>
      </w:r>
      <w:r w:rsidR="00A345AF">
        <w:t>among decedents with any</w:t>
      </w:r>
      <w:r w:rsidR="001B4A4F">
        <w:t xml:space="preserve"> identified mental health diagnosis:</w:t>
      </w: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2970"/>
        <w:gridCol w:w="3415"/>
      </w:tblGrid>
      <w:tr w:rsidR="001B4A4F" w:rsidRPr="009D554C" w14:paraId="64F0945E" w14:textId="77777777" w:rsidTr="00984851">
        <w:tc>
          <w:tcPr>
            <w:tcW w:w="2700" w:type="dxa"/>
            <w:tcBorders>
              <w:top w:val="single" w:sz="12" w:space="0" w:color="auto"/>
              <w:bottom w:val="single" w:sz="12" w:space="0" w:color="auto"/>
            </w:tcBorders>
          </w:tcPr>
          <w:p w14:paraId="0115161E" w14:textId="77777777" w:rsidR="001B4A4F" w:rsidRPr="009D554C" w:rsidRDefault="001B4A4F" w:rsidP="00984851">
            <w:pPr>
              <w:rPr>
                <w:i/>
                <w:iCs/>
              </w:rPr>
            </w:pPr>
            <w:r w:rsidRPr="009D554C">
              <w:rPr>
                <w:i/>
                <w:iCs/>
              </w:rPr>
              <w:t>Mental Health Condition</w:t>
            </w:r>
          </w:p>
        </w:tc>
        <w:tc>
          <w:tcPr>
            <w:tcW w:w="2970" w:type="dxa"/>
            <w:tcBorders>
              <w:top w:val="single" w:sz="12" w:space="0" w:color="auto"/>
              <w:bottom w:val="single" w:sz="12" w:space="0" w:color="auto"/>
            </w:tcBorders>
          </w:tcPr>
          <w:p w14:paraId="20FE24FD" w14:textId="77777777" w:rsidR="001B4A4F" w:rsidRPr="009D554C" w:rsidRDefault="001B4A4F" w:rsidP="00984851">
            <w:pPr>
              <w:pStyle w:val="ListParagraph"/>
              <w:ind w:left="0"/>
              <w:jc w:val="center"/>
              <w:rPr>
                <w:i/>
                <w:iCs/>
              </w:rPr>
            </w:pPr>
            <w:r w:rsidRPr="009D554C">
              <w:rPr>
                <w:i/>
                <w:iCs/>
              </w:rPr>
              <w:t>Percentage of Total Sample</w:t>
            </w:r>
          </w:p>
        </w:tc>
        <w:tc>
          <w:tcPr>
            <w:tcW w:w="3415" w:type="dxa"/>
            <w:tcBorders>
              <w:top w:val="single" w:sz="12" w:space="0" w:color="auto"/>
              <w:bottom w:val="single" w:sz="12" w:space="0" w:color="auto"/>
            </w:tcBorders>
          </w:tcPr>
          <w:p w14:paraId="50DDB834" w14:textId="77777777" w:rsidR="001B4A4F" w:rsidRPr="009D554C" w:rsidRDefault="001B4A4F" w:rsidP="00984851">
            <w:pPr>
              <w:pStyle w:val="ListParagraph"/>
              <w:ind w:left="0"/>
              <w:jc w:val="center"/>
              <w:rPr>
                <w:i/>
                <w:iCs/>
              </w:rPr>
            </w:pPr>
            <w:r w:rsidRPr="009D554C">
              <w:rPr>
                <w:i/>
                <w:iCs/>
              </w:rPr>
              <w:t>Percentage of those with MH Dx</w:t>
            </w:r>
          </w:p>
        </w:tc>
      </w:tr>
      <w:tr w:rsidR="001B4A4F" w:rsidRPr="009D554C" w14:paraId="349BD542" w14:textId="77777777" w:rsidTr="00984851">
        <w:tc>
          <w:tcPr>
            <w:tcW w:w="2700" w:type="dxa"/>
            <w:tcBorders>
              <w:top w:val="single" w:sz="12" w:space="0" w:color="auto"/>
            </w:tcBorders>
          </w:tcPr>
          <w:p w14:paraId="7C78CAD6" w14:textId="77777777" w:rsidR="001B4A4F" w:rsidRPr="009D554C" w:rsidRDefault="001B4A4F" w:rsidP="00984851">
            <w:pPr>
              <w:pStyle w:val="ListParagraph"/>
              <w:ind w:left="0"/>
            </w:pPr>
            <w:r w:rsidRPr="009D554C">
              <w:t>Anxiety</w:t>
            </w:r>
          </w:p>
        </w:tc>
        <w:tc>
          <w:tcPr>
            <w:tcW w:w="2970" w:type="dxa"/>
            <w:tcBorders>
              <w:top w:val="single" w:sz="12" w:space="0" w:color="auto"/>
            </w:tcBorders>
          </w:tcPr>
          <w:p w14:paraId="410A7B23" w14:textId="77777777" w:rsidR="001B4A4F" w:rsidRPr="009D554C" w:rsidRDefault="001B4A4F" w:rsidP="00984851">
            <w:pPr>
              <w:pStyle w:val="ListParagraph"/>
              <w:ind w:left="0"/>
              <w:jc w:val="center"/>
            </w:pPr>
            <w:r w:rsidRPr="009D554C">
              <w:t>20.4%</w:t>
            </w:r>
          </w:p>
        </w:tc>
        <w:tc>
          <w:tcPr>
            <w:tcW w:w="3415" w:type="dxa"/>
            <w:tcBorders>
              <w:top w:val="single" w:sz="12" w:space="0" w:color="auto"/>
            </w:tcBorders>
          </w:tcPr>
          <w:p w14:paraId="4A22D03F" w14:textId="77777777" w:rsidR="001B4A4F" w:rsidRPr="009D554C" w:rsidRDefault="001B4A4F" w:rsidP="00984851">
            <w:pPr>
              <w:pStyle w:val="ListParagraph"/>
              <w:ind w:left="0"/>
              <w:jc w:val="center"/>
            </w:pPr>
            <w:r w:rsidRPr="009D554C">
              <w:t>48.9%</w:t>
            </w:r>
          </w:p>
        </w:tc>
      </w:tr>
      <w:tr w:rsidR="001B4A4F" w:rsidRPr="009D554C" w14:paraId="08F54C9E" w14:textId="77777777" w:rsidTr="00984851">
        <w:tc>
          <w:tcPr>
            <w:tcW w:w="2700" w:type="dxa"/>
          </w:tcPr>
          <w:p w14:paraId="59510CAF" w14:textId="77777777" w:rsidR="001B4A4F" w:rsidRPr="009D554C" w:rsidRDefault="001B4A4F" w:rsidP="00984851">
            <w:pPr>
              <w:pStyle w:val="ListParagraph"/>
              <w:ind w:left="0"/>
            </w:pPr>
            <w:r w:rsidRPr="009D554C">
              <w:t>Depression</w:t>
            </w:r>
          </w:p>
        </w:tc>
        <w:tc>
          <w:tcPr>
            <w:tcW w:w="2970" w:type="dxa"/>
          </w:tcPr>
          <w:p w14:paraId="156068E6" w14:textId="77777777" w:rsidR="001B4A4F" w:rsidRPr="009D554C" w:rsidRDefault="001B4A4F" w:rsidP="00984851">
            <w:pPr>
              <w:pStyle w:val="ListParagraph"/>
              <w:ind w:left="0"/>
              <w:jc w:val="center"/>
            </w:pPr>
            <w:r w:rsidRPr="009D554C">
              <w:t>34.3%</w:t>
            </w:r>
          </w:p>
        </w:tc>
        <w:tc>
          <w:tcPr>
            <w:tcW w:w="3415" w:type="dxa"/>
          </w:tcPr>
          <w:p w14:paraId="2EA4F26F" w14:textId="77777777" w:rsidR="001B4A4F" w:rsidRPr="009D554C" w:rsidRDefault="001B4A4F" w:rsidP="00984851">
            <w:pPr>
              <w:pStyle w:val="ListParagraph"/>
              <w:ind w:left="0"/>
              <w:jc w:val="center"/>
            </w:pPr>
            <w:r w:rsidRPr="009D554C">
              <w:t>82.2%</w:t>
            </w:r>
          </w:p>
        </w:tc>
      </w:tr>
      <w:tr w:rsidR="001B4A4F" w:rsidRPr="009D554C" w14:paraId="22C8BC29" w14:textId="77777777" w:rsidTr="00984851">
        <w:tc>
          <w:tcPr>
            <w:tcW w:w="2700" w:type="dxa"/>
          </w:tcPr>
          <w:p w14:paraId="4588F708" w14:textId="77777777" w:rsidR="001B4A4F" w:rsidRPr="009D554C" w:rsidRDefault="001B4A4F" w:rsidP="00984851">
            <w:pPr>
              <w:pStyle w:val="ListParagraph"/>
              <w:ind w:left="0"/>
            </w:pPr>
            <w:r w:rsidRPr="009D554C">
              <w:t>Bipolar</w:t>
            </w:r>
          </w:p>
        </w:tc>
        <w:tc>
          <w:tcPr>
            <w:tcW w:w="2970" w:type="dxa"/>
          </w:tcPr>
          <w:p w14:paraId="3279B923" w14:textId="77777777" w:rsidR="001B4A4F" w:rsidRPr="009D554C" w:rsidRDefault="001B4A4F" w:rsidP="00984851">
            <w:pPr>
              <w:pStyle w:val="ListParagraph"/>
              <w:ind w:left="0"/>
              <w:jc w:val="center"/>
            </w:pPr>
            <w:r w:rsidRPr="009D554C">
              <w:t>16.7%</w:t>
            </w:r>
          </w:p>
        </w:tc>
        <w:tc>
          <w:tcPr>
            <w:tcW w:w="3415" w:type="dxa"/>
          </w:tcPr>
          <w:p w14:paraId="02C03548" w14:textId="77777777" w:rsidR="001B4A4F" w:rsidRPr="009D554C" w:rsidRDefault="001B4A4F" w:rsidP="00984851">
            <w:pPr>
              <w:pStyle w:val="ListParagraph"/>
              <w:ind w:left="0"/>
              <w:jc w:val="center"/>
            </w:pPr>
            <w:r w:rsidRPr="009D554C">
              <w:t>40%</w:t>
            </w:r>
          </w:p>
        </w:tc>
      </w:tr>
      <w:tr w:rsidR="001B4A4F" w:rsidRPr="009D554C" w14:paraId="03E05837" w14:textId="77777777" w:rsidTr="00984851">
        <w:tc>
          <w:tcPr>
            <w:tcW w:w="2700" w:type="dxa"/>
          </w:tcPr>
          <w:p w14:paraId="09E742CC" w14:textId="77777777" w:rsidR="001B4A4F" w:rsidRPr="009D554C" w:rsidRDefault="001B4A4F" w:rsidP="00984851">
            <w:pPr>
              <w:pStyle w:val="ListParagraph"/>
              <w:ind w:left="0"/>
            </w:pPr>
            <w:r w:rsidRPr="009D554C">
              <w:t>PTSD</w:t>
            </w:r>
          </w:p>
        </w:tc>
        <w:tc>
          <w:tcPr>
            <w:tcW w:w="2970" w:type="dxa"/>
          </w:tcPr>
          <w:p w14:paraId="07FA44AF" w14:textId="77777777" w:rsidR="001B4A4F" w:rsidRPr="009D554C" w:rsidRDefault="001B4A4F" w:rsidP="00984851">
            <w:pPr>
              <w:pStyle w:val="ListParagraph"/>
              <w:ind w:left="0"/>
              <w:jc w:val="center"/>
            </w:pPr>
            <w:r w:rsidRPr="009D554C">
              <w:t>5.6%</w:t>
            </w:r>
          </w:p>
        </w:tc>
        <w:tc>
          <w:tcPr>
            <w:tcW w:w="3415" w:type="dxa"/>
          </w:tcPr>
          <w:p w14:paraId="2729A65F" w14:textId="77777777" w:rsidR="001B4A4F" w:rsidRPr="009D554C" w:rsidRDefault="001B4A4F" w:rsidP="00984851">
            <w:pPr>
              <w:pStyle w:val="ListParagraph"/>
              <w:ind w:left="0"/>
              <w:jc w:val="center"/>
            </w:pPr>
            <w:r w:rsidRPr="009D554C">
              <w:t>13.3%</w:t>
            </w:r>
          </w:p>
        </w:tc>
      </w:tr>
      <w:tr w:rsidR="001B4A4F" w:rsidRPr="009D554C" w14:paraId="095E2867" w14:textId="77777777" w:rsidTr="00984851">
        <w:tc>
          <w:tcPr>
            <w:tcW w:w="2700" w:type="dxa"/>
          </w:tcPr>
          <w:p w14:paraId="50A4F751" w14:textId="77777777" w:rsidR="001B4A4F" w:rsidRPr="009D554C" w:rsidRDefault="001B4A4F" w:rsidP="00984851">
            <w:pPr>
              <w:pStyle w:val="ListParagraph"/>
              <w:ind w:left="0"/>
            </w:pPr>
            <w:r w:rsidRPr="009D554C">
              <w:t>ADHD</w:t>
            </w:r>
          </w:p>
        </w:tc>
        <w:tc>
          <w:tcPr>
            <w:tcW w:w="2970" w:type="dxa"/>
          </w:tcPr>
          <w:p w14:paraId="63B0C740" w14:textId="77777777" w:rsidR="001B4A4F" w:rsidRPr="009D554C" w:rsidRDefault="001B4A4F" w:rsidP="00984851">
            <w:pPr>
              <w:pStyle w:val="ListParagraph"/>
              <w:ind w:left="0"/>
              <w:jc w:val="center"/>
            </w:pPr>
            <w:r w:rsidRPr="009D554C">
              <w:t>0.9%</w:t>
            </w:r>
          </w:p>
        </w:tc>
        <w:tc>
          <w:tcPr>
            <w:tcW w:w="3415" w:type="dxa"/>
          </w:tcPr>
          <w:p w14:paraId="0FD8C083" w14:textId="77777777" w:rsidR="001B4A4F" w:rsidRPr="009D554C" w:rsidRDefault="001B4A4F" w:rsidP="00984851">
            <w:pPr>
              <w:pStyle w:val="ListParagraph"/>
              <w:ind w:left="0"/>
              <w:jc w:val="center"/>
            </w:pPr>
            <w:r w:rsidRPr="009D554C">
              <w:t>2.2%</w:t>
            </w:r>
          </w:p>
        </w:tc>
      </w:tr>
      <w:tr w:rsidR="001B4A4F" w:rsidRPr="009D554C" w14:paraId="115945A7" w14:textId="77777777" w:rsidTr="00984851">
        <w:tc>
          <w:tcPr>
            <w:tcW w:w="2700" w:type="dxa"/>
          </w:tcPr>
          <w:p w14:paraId="7C409D7A" w14:textId="77777777" w:rsidR="001B4A4F" w:rsidRPr="009D554C" w:rsidRDefault="001B4A4F" w:rsidP="00984851">
            <w:pPr>
              <w:pStyle w:val="ListParagraph"/>
              <w:ind w:left="0"/>
            </w:pPr>
            <w:r w:rsidRPr="009D554C">
              <w:t>Schizophrenia</w:t>
            </w:r>
          </w:p>
        </w:tc>
        <w:tc>
          <w:tcPr>
            <w:tcW w:w="2970" w:type="dxa"/>
          </w:tcPr>
          <w:p w14:paraId="55E65C03" w14:textId="77777777" w:rsidR="001B4A4F" w:rsidRPr="009D554C" w:rsidRDefault="001B4A4F" w:rsidP="00984851">
            <w:pPr>
              <w:pStyle w:val="ListParagraph"/>
              <w:ind w:left="0"/>
              <w:jc w:val="center"/>
            </w:pPr>
            <w:r w:rsidRPr="009D554C">
              <w:t>3.7%</w:t>
            </w:r>
          </w:p>
        </w:tc>
        <w:tc>
          <w:tcPr>
            <w:tcW w:w="3415" w:type="dxa"/>
          </w:tcPr>
          <w:p w14:paraId="0164C153" w14:textId="77777777" w:rsidR="001B4A4F" w:rsidRPr="009D554C" w:rsidRDefault="001B4A4F" w:rsidP="00984851">
            <w:pPr>
              <w:pStyle w:val="ListParagraph"/>
              <w:ind w:left="0"/>
              <w:jc w:val="center"/>
            </w:pPr>
            <w:r w:rsidRPr="009D554C">
              <w:t>8.9%</w:t>
            </w:r>
          </w:p>
        </w:tc>
      </w:tr>
      <w:tr w:rsidR="001B4A4F" w:rsidRPr="009D554C" w14:paraId="0B23B515" w14:textId="77777777" w:rsidTr="00984851">
        <w:tc>
          <w:tcPr>
            <w:tcW w:w="2700" w:type="dxa"/>
          </w:tcPr>
          <w:p w14:paraId="28D1C980" w14:textId="77777777" w:rsidR="001B4A4F" w:rsidRPr="009D554C" w:rsidRDefault="001B4A4F" w:rsidP="00984851">
            <w:pPr>
              <w:pStyle w:val="ListParagraph"/>
              <w:ind w:left="0"/>
            </w:pPr>
            <w:r w:rsidRPr="009D554C">
              <w:t>Personality Disorder</w:t>
            </w:r>
          </w:p>
        </w:tc>
        <w:tc>
          <w:tcPr>
            <w:tcW w:w="2970" w:type="dxa"/>
          </w:tcPr>
          <w:p w14:paraId="132BEA77" w14:textId="77777777" w:rsidR="001B4A4F" w:rsidRPr="009D554C" w:rsidRDefault="001B4A4F" w:rsidP="00984851">
            <w:pPr>
              <w:pStyle w:val="ListParagraph"/>
              <w:ind w:left="0"/>
              <w:jc w:val="center"/>
            </w:pPr>
            <w:r w:rsidRPr="009D554C">
              <w:t>0.9%</w:t>
            </w:r>
          </w:p>
        </w:tc>
        <w:tc>
          <w:tcPr>
            <w:tcW w:w="3415" w:type="dxa"/>
          </w:tcPr>
          <w:p w14:paraId="16CE807B" w14:textId="77777777" w:rsidR="001B4A4F" w:rsidRPr="009D554C" w:rsidRDefault="001B4A4F" w:rsidP="00984851">
            <w:pPr>
              <w:pStyle w:val="ListParagraph"/>
              <w:ind w:left="0"/>
              <w:jc w:val="center"/>
            </w:pPr>
            <w:r w:rsidRPr="009D554C">
              <w:t>2.2%</w:t>
            </w:r>
          </w:p>
        </w:tc>
      </w:tr>
      <w:tr w:rsidR="001B4A4F" w:rsidRPr="009D554C" w14:paraId="49F00DDA" w14:textId="77777777" w:rsidTr="00984851">
        <w:tc>
          <w:tcPr>
            <w:tcW w:w="2700" w:type="dxa"/>
          </w:tcPr>
          <w:p w14:paraId="73E69FE9" w14:textId="77777777" w:rsidR="001B4A4F" w:rsidRPr="009D554C" w:rsidRDefault="001B4A4F" w:rsidP="00984851">
            <w:pPr>
              <w:pStyle w:val="ListParagraph"/>
              <w:ind w:left="0"/>
            </w:pPr>
            <w:r w:rsidRPr="009D554C">
              <w:t>OCD</w:t>
            </w:r>
          </w:p>
        </w:tc>
        <w:tc>
          <w:tcPr>
            <w:tcW w:w="2970" w:type="dxa"/>
          </w:tcPr>
          <w:p w14:paraId="71919574" w14:textId="77777777" w:rsidR="001B4A4F" w:rsidRPr="009D554C" w:rsidRDefault="001B4A4F" w:rsidP="00984851">
            <w:pPr>
              <w:pStyle w:val="ListParagraph"/>
              <w:ind w:left="0"/>
              <w:jc w:val="center"/>
            </w:pPr>
            <w:r w:rsidRPr="009D554C">
              <w:t>1.9%</w:t>
            </w:r>
          </w:p>
        </w:tc>
        <w:tc>
          <w:tcPr>
            <w:tcW w:w="3415" w:type="dxa"/>
          </w:tcPr>
          <w:p w14:paraId="791F89A2" w14:textId="77777777" w:rsidR="001B4A4F" w:rsidRPr="009D554C" w:rsidRDefault="001B4A4F" w:rsidP="00984851">
            <w:pPr>
              <w:pStyle w:val="ListParagraph"/>
              <w:ind w:left="0"/>
              <w:jc w:val="center"/>
            </w:pPr>
            <w:r w:rsidRPr="009D554C">
              <w:t>4.4%</w:t>
            </w:r>
          </w:p>
        </w:tc>
      </w:tr>
      <w:tr w:rsidR="001B4A4F" w:rsidRPr="009D554C" w14:paraId="0D484931" w14:textId="77777777" w:rsidTr="00984851">
        <w:tc>
          <w:tcPr>
            <w:tcW w:w="2700" w:type="dxa"/>
          </w:tcPr>
          <w:p w14:paraId="195043BB" w14:textId="77777777" w:rsidR="001B4A4F" w:rsidRPr="009D554C" w:rsidRDefault="001B4A4F" w:rsidP="00984851">
            <w:pPr>
              <w:pStyle w:val="ListParagraph"/>
              <w:ind w:left="0"/>
            </w:pPr>
            <w:r w:rsidRPr="009D554C">
              <w:t>Specific Phobias</w:t>
            </w:r>
          </w:p>
        </w:tc>
        <w:tc>
          <w:tcPr>
            <w:tcW w:w="2970" w:type="dxa"/>
          </w:tcPr>
          <w:p w14:paraId="3743271D" w14:textId="77777777" w:rsidR="001B4A4F" w:rsidRPr="009D554C" w:rsidRDefault="001B4A4F" w:rsidP="00984851">
            <w:pPr>
              <w:pStyle w:val="ListParagraph"/>
              <w:ind w:left="0"/>
              <w:jc w:val="center"/>
            </w:pPr>
            <w:r w:rsidRPr="009D554C">
              <w:t>0%</w:t>
            </w:r>
          </w:p>
        </w:tc>
        <w:tc>
          <w:tcPr>
            <w:tcW w:w="3415" w:type="dxa"/>
          </w:tcPr>
          <w:p w14:paraId="264056A2" w14:textId="77777777" w:rsidR="001B4A4F" w:rsidRPr="009D554C" w:rsidRDefault="001B4A4F" w:rsidP="00984851">
            <w:pPr>
              <w:pStyle w:val="ListParagraph"/>
              <w:ind w:left="0"/>
              <w:jc w:val="center"/>
            </w:pPr>
            <w:r w:rsidRPr="009D554C">
              <w:t>0%</w:t>
            </w:r>
          </w:p>
        </w:tc>
      </w:tr>
      <w:tr w:rsidR="001B4A4F" w:rsidRPr="009D554C" w14:paraId="6ED1614C" w14:textId="77777777" w:rsidTr="00984851">
        <w:tc>
          <w:tcPr>
            <w:tcW w:w="2700" w:type="dxa"/>
          </w:tcPr>
          <w:p w14:paraId="292C8317" w14:textId="77777777" w:rsidR="001B4A4F" w:rsidRPr="009D554C" w:rsidRDefault="001B4A4F" w:rsidP="00984851">
            <w:pPr>
              <w:pStyle w:val="ListParagraph"/>
              <w:ind w:left="0"/>
            </w:pPr>
            <w:r w:rsidRPr="009D554C">
              <w:t>Easting Disorder</w:t>
            </w:r>
          </w:p>
        </w:tc>
        <w:tc>
          <w:tcPr>
            <w:tcW w:w="2970" w:type="dxa"/>
          </w:tcPr>
          <w:p w14:paraId="2BADDC3A" w14:textId="77777777" w:rsidR="001B4A4F" w:rsidRPr="009D554C" w:rsidRDefault="001B4A4F" w:rsidP="00984851">
            <w:pPr>
              <w:pStyle w:val="ListParagraph"/>
              <w:ind w:left="0"/>
              <w:jc w:val="center"/>
            </w:pPr>
            <w:r w:rsidRPr="009D554C">
              <w:t>0%</w:t>
            </w:r>
          </w:p>
        </w:tc>
        <w:tc>
          <w:tcPr>
            <w:tcW w:w="3415" w:type="dxa"/>
          </w:tcPr>
          <w:p w14:paraId="47E672DD" w14:textId="77777777" w:rsidR="001B4A4F" w:rsidRPr="009D554C" w:rsidRDefault="001B4A4F" w:rsidP="00984851">
            <w:pPr>
              <w:pStyle w:val="ListParagraph"/>
              <w:ind w:left="0"/>
              <w:jc w:val="center"/>
            </w:pPr>
            <w:r w:rsidRPr="009D554C">
              <w:t>0%</w:t>
            </w:r>
          </w:p>
        </w:tc>
      </w:tr>
      <w:tr w:rsidR="001B4A4F" w:rsidRPr="009D554C" w14:paraId="51205386" w14:textId="77777777" w:rsidTr="00984851">
        <w:tc>
          <w:tcPr>
            <w:tcW w:w="2700" w:type="dxa"/>
            <w:tcBorders>
              <w:bottom w:val="single" w:sz="12" w:space="0" w:color="auto"/>
            </w:tcBorders>
          </w:tcPr>
          <w:p w14:paraId="718E98B7" w14:textId="77777777" w:rsidR="001B4A4F" w:rsidRPr="009D554C" w:rsidRDefault="001B4A4F" w:rsidP="00984851">
            <w:pPr>
              <w:pStyle w:val="ListParagraph"/>
              <w:ind w:left="0"/>
            </w:pPr>
            <w:r w:rsidRPr="009D554C">
              <w:t>Other</w:t>
            </w:r>
          </w:p>
        </w:tc>
        <w:tc>
          <w:tcPr>
            <w:tcW w:w="2970" w:type="dxa"/>
            <w:tcBorders>
              <w:bottom w:val="single" w:sz="12" w:space="0" w:color="auto"/>
            </w:tcBorders>
          </w:tcPr>
          <w:p w14:paraId="0685AB48" w14:textId="77777777" w:rsidR="001B4A4F" w:rsidRPr="009D554C" w:rsidRDefault="001B4A4F" w:rsidP="00984851">
            <w:pPr>
              <w:pStyle w:val="ListParagraph"/>
              <w:ind w:left="0"/>
              <w:jc w:val="center"/>
            </w:pPr>
            <w:r w:rsidRPr="009D554C">
              <w:t>1.9%</w:t>
            </w:r>
          </w:p>
        </w:tc>
        <w:tc>
          <w:tcPr>
            <w:tcW w:w="3415" w:type="dxa"/>
            <w:tcBorders>
              <w:bottom w:val="single" w:sz="12" w:space="0" w:color="auto"/>
            </w:tcBorders>
          </w:tcPr>
          <w:p w14:paraId="510893F1" w14:textId="77777777" w:rsidR="001B4A4F" w:rsidRPr="009D554C" w:rsidRDefault="001B4A4F" w:rsidP="00984851">
            <w:pPr>
              <w:pStyle w:val="ListParagraph"/>
              <w:ind w:left="0"/>
              <w:jc w:val="center"/>
            </w:pPr>
            <w:r w:rsidRPr="009D554C">
              <w:t>4.4%</w:t>
            </w:r>
          </w:p>
        </w:tc>
      </w:tr>
    </w:tbl>
    <w:p w14:paraId="7E6A9410" w14:textId="19060801" w:rsidR="001B4A4F" w:rsidRDefault="001B4A4F" w:rsidP="008641B4">
      <w:pPr>
        <w:spacing w:line="480" w:lineRule="auto"/>
      </w:pPr>
      <w:r>
        <w:t>Table 2: Mental Health Diagnosis</w:t>
      </w:r>
    </w:p>
    <w:p w14:paraId="16C25F19" w14:textId="48362483" w:rsidR="007748F7" w:rsidRDefault="00CE021F" w:rsidP="008641B4">
      <w:pPr>
        <w:spacing w:line="480" w:lineRule="auto"/>
      </w:pPr>
      <w:r>
        <w:tab/>
      </w:r>
      <w:r w:rsidR="00AA5578">
        <w:t>According to the most recent data from the National Survey on Drug Use and Health</w:t>
      </w:r>
      <w:r w:rsidR="00881C5C">
        <w:t xml:space="preserve"> (NSDUH)</w:t>
      </w:r>
      <w:r w:rsidR="00AA5578">
        <w:t xml:space="preserve"> by the Substance Abuse and Mental Health Services Administration (</w:t>
      </w:r>
      <w:r w:rsidR="00AA5578" w:rsidRPr="00451D2C">
        <w:t>SAMHSA, 2021</w:t>
      </w:r>
      <w:r w:rsidR="00AA5578">
        <w:t>),</w:t>
      </w:r>
      <w:r w:rsidR="00194538">
        <w:t xml:space="preserve"> those with mental health conditions are more likely than those without to use illicit </w:t>
      </w:r>
      <w:r w:rsidR="00194538">
        <w:lastRenderedPageBreak/>
        <w:t>substance</w:t>
      </w:r>
      <w:r w:rsidR="00A345AF">
        <w:t>s</w:t>
      </w:r>
      <w:r w:rsidR="00194538">
        <w:t xml:space="preserve">. </w:t>
      </w:r>
      <w:r w:rsidR="00D601EF">
        <w:t xml:space="preserve">While causation cannot be determined between substance use and mental health, the findings </w:t>
      </w:r>
      <w:r w:rsidR="007748F7">
        <w:t xml:space="preserve">and prior research </w:t>
      </w:r>
      <w:r w:rsidR="00D601EF">
        <w:t>demonstrate a</w:t>
      </w:r>
      <w:r w:rsidR="00830C7F">
        <w:t>n extremely</w:t>
      </w:r>
      <w:r w:rsidR="00D601EF">
        <w:t xml:space="preserve"> strong </w:t>
      </w:r>
      <w:r w:rsidR="007748F7">
        <w:t xml:space="preserve">bidirectional </w:t>
      </w:r>
      <w:r w:rsidR="00D601EF">
        <w:t>relationship between mental health and substance use</w:t>
      </w:r>
      <w:r w:rsidR="00830C7F">
        <w:t>:</w:t>
      </w:r>
      <w:r w:rsidR="00C45C45">
        <w:t xml:space="preserve"> </w:t>
      </w:r>
      <w:r w:rsidR="00830C7F">
        <w:t xml:space="preserve">notably, </w:t>
      </w:r>
      <w:r w:rsidR="00C45C45">
        <w:t xml:space="preserve">NSDUH indicates that of </w:t>
      </w:r>
      <w:r w:rsidR="00D601EF">
        <w:t xml:space="preserve">roughly 20.9 million </w:t>
      </w:r>
      <w:r w:rsidR="00C45C45">
        <w:t xml:space="preserve">adults with </w:t>
      </w:r>
      <w:r w:rsidR="00D601EF">
        <w:t xml:space="preserve">substance use disorder, </w:t>
      </w:r>
      <w:r w:rsidR="00C45C45">
        <w:t>81.3% (roughly 17 million adults) also had a</w:t>
      </w:r>
      <w:r w:rsidR="00D601EF">
        <w:t xml:space="preserve"> mental illness.</w:t>
      </w:r>
      <w:r w:rsidR="007748F7">
        <w:t xml:space="preserve"> Given the</w:t>
      </w:r>
      <w:r w:rsidR="00830C7F">
        <w:t xml:space="preserve">se findings, </w:t>
      </w:r>
      <w:r w:rsidR="007748F7">
        <w:t>we recommend increasing mental health services with a focus on co-occurring care.</w:t>
      </w:r>
    </w:p>
    <w:p w14:paraId="1AAA5F37" w14:textId="6B644EFB" w:rsidR="00881C5C" w:rsidRDefault="008F1C39" w:rsidP="00B73988">
      <w:pPr>
        <w:spacing w:line="480" w:lineRule="auto"/>
      </w:pPr>
      <w:r>
        <w:tab/>
      </w:r>
      <w:r w:rsidR="00881C5C">
        <w:t xml:space="preserve">Prior research has identified barriers to treatment for those with mental </w:t>
      </w:r>
      <w:r w:rsidR="00830C7F">
        <w:t xml:space="preserve">illness </w:t>
      </w:r>
      <w:r w:rsidR="00881C5C">
        <w:t xml:space="preserve">and </w:t>
      </w:r>
      <w:r w:rsidR="00830C7F">
        <w:t>SUD</w:t>
      </w:r>
      <w:r w:rsidR="00881C5C">
        <w:t xml:space="preserve"> (</w:t>
      </w:r>
      <w:r w:rsidR="00881C5C" w:rsidRPr="00451D2C">
        <w:t>Han et al.</w:t>
      </w:r>
      <w:r w:rsidR="00451D2C" w:rsidRPr="00451D2C">
        <w:t>,</w:t>
      </w:r>
      <w:r w:rsidR="00881C5C" w:rsidRPr="00451D2C">
        <w:t xml:space="preserve"> 2017</w:t>
      </w:r>
      <w:r w:rsidR="00881C5C">
        <w:t>).</w:t>
      </w:r>
      <w:r>
        <w:t xml:space="preserve"> </w:t>
      </w:r>
      <w:r w:rsidR="00881C5C">
        <w:t xml:space="preserve">We </w:t>
      </w:r>
      <w:r>
        <w:t xml:space="preserve">encourage treatment facilities in Delaware to provide service for both mental health and </w:t>
      </w:r>
      <w:r w:rsidR="00830C7F">
        <w:t>SUD</w:t>
      </w:r>
      <w:r>
        <w:t xml:space="preserve"> as co-occurring conditions to assist in decreasing the morbidity and mortality rate in the state</w:t>
      </w:r>
      <w:r w:rsidR="00881C5C">
        <w:t xml:space="preserve">. </w:t>
      </w:r>
      <w:r w:rsidR="00830C7F">
        <w:t>This objective can be accomplished through two approaches, neither of which are mutually exclusive. First, treatment facilities can</w:t>
      </w:r>
      <w:r w:rsidR="00881C5C">
        <w:t xml:space="preserve"> </w:t>
      </w:r>
      <w:r w:rsidR="00830C7F">
        <w:t xml:space="preserve">reduce </w:t>
      </w:r>
      <w:r w:rsidR="00881C5C">
        <w:t>barriers to treatment identified by the NSDUH, such as affordability, availability of various types of treatment, community support in seeking treatment</w:t>
      </w:r>
      <w:r w:rsidR="00B73988">
        <w:t>, and dissemination of information on where to receive services</w:t>
      </w:r>
      <w:r w:rsidR="00830C7F">
        <w:t>; alternatively, or additionally, facilities can expand</w:t>
      </w:r>
      <w:r w:rsidR="00B73988">
        <w:t xml:space="preserve"> the number of services </w:t>
      </w:r>
      <w:r w:rsidR="00830C7F">
        <w:t>that</w:t>
      </w:r>
      <w:r w:rsidR="00B73988">
        <w:t xml:space="preserve"> treat</w:t>
      </w:r>
      <w:r w:rsidR="00830C7F">
        <w:t xml:space="preserve"> both</w:t>
      </w:r>
      <w:r w:rsidR="00B73988">
        <w:t xml:space="preserve"> </w:t>
      </w:r>
      <w:r w:rsidR="00830C7F">
        <w:t>SUD</w:t>
      </w:r>
      <w:r w:rsidR="00B73988">
        <w:t xml:space="preserve"> </w:t>
      </w:r>
      <w:r w:rsidR="00B73988">
        <w:rPr>
          <w:i/>
          <w:iCs/>
        </w:rPr>
        <w:t xml:space="preserve">and </w:t>
      </w:r>
      <w:r w:rsidR="00B73988">
        <w:t>mental health.</w:t>
      </w:r>
    </w:p>
    <w:p w14:paraId="37E8E727" w14:textId="2A78F01D" w:rsidR="00B60F79" w:rsidRPr="00FC614A" w:rsidRDefault="00FC614A" w:rsidP="00FC614A">
      <w:pPr>
        <w:spacing w:line="480" w:lineRule="auto"/>
      </w:pPr>
      <w:r>
        <w:tab/>
        <w:t xml:space="preserve">Prior research has documented the link between trauma and </w:t>
      </w:r>
      <w:r w:rsidR="00830C7F">
        <w:t>SUD</w:t>
      </w:r>
      <w:r>
        <w:t xml:space="preserve"> </w:t>
      </w:r>
      <w:r w:rsidRPr="00FC614A">
        <w:t>(</w:t>
      </w:r>
      <w:r w:rsidRPr="00451D2C">
        <w:t xml:space="preserve">Morgan, 2009; </w:t>
      </w:r>
      <w:proofErr w:type="spellStart"/>
      <w:r w:rsidRPr="00451D2C">
        <w:t>Muchel</w:t>
      </w:r>
      <w:proofErr w:type="spellEnd"/>
      <w:r w:rsidRPr="00451D2C">
        <w:t>, 2017; Norman</w:t>
      </w:r>
      <w:r w:rsidR="00451D2C" w:rsidRPr="00451D2C">
        <w:t xml:space="preserve"> et al., </w:t>
      </w:r>
      <w:r w:rsidRPr="00451D2C">
        <w:t xml:space="preserve">2017; </w:t>
      </w:r>
      <w:proofErr w:type="spellStart"/>
      <w:r w:rsidRPr="00451D2C">
        <w:t>Ouimette</w:t>
      </w:r>
      <w:proofErr w:type="spellEnd"/>
      <w:r w:rsidRPr="00451D2C">
        <w:t xml:space="preserve"> &amp; Brown, 2003</w:t>
      </w:r>
      <w:r>
        <w:t>). In our last report, we provided recommendations based on the number of decedents in our sample who were identified as having traumatic events (</w:t>
      </w:r>
      <w:r w:rsidRPr="00451D2C">
        <w:t>Lawes, 2022</w:t>
      </w:r>
      <w:r>
        <w:t xml:space="preserve">). In 2020, </w:t>
      </w:r>
      <w:r w:rsidR="00B60F79" w:rsidRPr="00FC614A">
        <w:t>29.9%</w:t>
      </w:r>
      <w:r>
        <w:t xml:space="preserve"> of decedents were</w:t>
      </w:r>
      <w:r w:rsidR="00B60F79" w:rsidRPr="00FC614A">
        <w:t xml:space="preserve"> report</w:t>
      </w:r>
      <w:r>
        <w:t>ed</w:t>
      </w:r>
      <w:r w:rsidR="00B60F79" w:rsidRPr="00FC614A">
        <w:t xml:space="preserve"> </w:t>
      </w:r>
      <w:r>
        <w:t xml:space="preserve">to have </w:t>
      </w:r>
      <w:r w:rsidR="00B60F79" w:rsidRPr="00FC614A">
        <w:t>traumatic experiences, ranging from 1-4 events.</w:t>
      </w:r>
      <w:r>
        <w:t xml:space="preserve"> Table 3 below highlights the type of traumatic events </w:t>
      </w:r>
      <w:r w:rsidR="00830C7F">
        <w:t xml:space="preserve">that </w:t>
      </w:r>
      <w:r>
        <w:t>decedents</w:t>
      </w:r>
      <w:r w:rsidR="00830C7F">
        <w:t xml:space="preserve"> experienced</w:t>
      </w:r>
      <w:r>
        <w:t xml:space="preserve">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B60F79" w14:paraId="614BBC25" w14:textId="77777777" w:rsidTr="00984851">
        <w:tc>
          <w:tcPr>
            <w:tcW w:w="4675" w:type="dxa"/>
            <w:tcBorders>
              <w:top w:val="single" w:sz="12" w:space="0" w:color="auto"/>
              <w:bottom w:val="single" w:sz="12" w:space="0" w:color="auto"/>
            </w:tcBorders>
          </w:tcPr>
          <w:p w14:paraId="7CF883E7" w14:textId="77777777" w:rsidR="00B60F79" w:rsidRPr="00162C27" w:rsidRDefault="00B60F79" w:rsidP="00984851">
            <w:pPr>
              <w:jc w:val="center"/>
              <w:rPr>
                <w:i/>
                <w:iCs/>
              </w:rPr>
            </w:pPr>
            <w:r w:rsidRPr="00162C27">
              <w:rPr>
                <w:i/>
                <w:iCs/>
              </w:rPr>
              <w:t>Trauma Experienced</w:t>
            </w:r>
          </w:p>
        </w:tc>
        <w:tc>
          <w:tcPr>
            <w:tcW w:w="4675" w:type="dxa"/>
            <w:tcBorders>
              <w:top w:val="single" w:sz="12" w:space="0" w:color="auto"/>
              <w:bottom w:val="single" w:sz="12" w:space="0" w:color="auto"/>
            </w:tcBorders>
          </w:tcPr>
          <w:p w14:paraId="64E932B8" w14:textId="77777777" w:rsidR="00B60F79" w:rsidRPr="00162C27" w:rsidRDefault="00B60F79" w:rsidP="00984851">
            <w:pPr>
              <w:jc w:val="center"/>
              <w:rPr>
                <w:i/>
                <w:iCs/>
              </w:rPr>
            </w:pPr>
            <w:r w:rsidRPr="00162C27">
              <w:rPr>
                <w:i/>
                <w:iCs/>
              </w:rPr>
              <w:t>Percentage</w:t>
            </w:r>
          </w:p>
        </w:tc>
      </w:tr>
      <w:tr w:rsidR="00B60F79" w14:paraId="21A98A67" w14:textId="77777777" w:rsidTr="00984851">
        <w:tc>
          <w:tcPr>
            <w:tcW w:w="4675" w:type="dxa"/>
            <w:tcBorders>
              <w:top w:val="single" w:sz="12" w:space="0" w:color="auto"/>
            </w:tcBorders>
          </w:tcPr>
          <w:p w14:paraId="317DC896" w14:textId="77777777" w:rsidR="00B60F79" w:rsidRPr="00162C27" w:rsidRDefault="00B60F79" w:rsidP="00984851">
            <w:r w:rsidRPr="00162C27">
              <w:t>History of Sexual Abuse</w:t>
            </w:r>
          </w:p>
        </w:tc>
        <w:tc>
          <w:tcPr>
            <w:tcW w:w="4675" w:type="dxa"/>
            <w:tcBorders>
              <w:top w:val="single" w:sz="12" w:space="0" w:color="auto"/>
            </w:tcBorders>
          </w:tcPr>
          <w:p w14:paraId="4184E09C" w14:textId="77777777" w:rsidR="00B60F79" w:rsidRPr="00162C27" w:rsidRDefault="00B60F79" w:rsidP="00984851">
            <w:pPr>
              <w:jc w:val="center"/>
            </w:pPr>
            <w:r w:rsidRPr="00162C27">
              <w:t>0.9%</w:t>
            </w:r>
          </w:p>
        </w:tc>
      </w:tr>
      <w:tr w:rsidR="00B60F79" w14:paraId="38153C91" w14:textId="77777777" w:rsidTr="00984851">
        <w:tc>
          <w:tcPr>
            <w:tcW w:w="4675" w:type="dxa"/>
          </w:tcPr>
          <w:p w14:paraId="002F6112" w14:textId="5E4923A4" w:rsidR="00B60F79" w:rsidRPr="00162C27" w:rsidRDefault="00B60F79" w:rsidP="00984851">
            <w:r w:rsidRPr="00162C27">
              <w:t xml:space="preserve">History </w:t>
            </w:r>
            <w:proofErr w:type="gramStart"/>
            <w:r w:rsidRPr="00162C27">
              <w:t xml:space="preserve">of  </w:t>
            </w:r>
            <w:r w:rsidR="009C6797">
              <w:t>Emotional</w:t>
            </w:r>
            <w:proofErr w:type="gramEnd"/>
            <w:r w:rsidR="009C6797">
              <w:t xml:space="preserve"> Abuse</w:t>
            </w:r>
          </w:p>
        </w:tc>
        <w:tc>
          <w:tcPr>
            <w:tcW w:w="4675" w:type="dxa"/>
          </w:tcPr>
          <w:p w14:paraId="34ABA63D" w14:textId="77777777" w:rsidR="00B60F79" w:rsidRPr="00162C27" w:rsidRDefault="00B60F79" w:rsidP="00984851">
            <w:pPr>
              <w:jc w:val="center"/>
            </w:pPr>
            <w:r w:rsidRPr="00162C27">
              <w:t>0.9%</w:t>
            </w:r>
          </w:p>
        </w:tc>
      </w:tr>
      <w:tr w:rsidR="00B60F79" w14:paraId="435E98D6" w14:textId="77777777" w:rsidTr="00984851">
        <w:tc>
          <w:tcPr>
            <w:tcW w:w="4675" w:type="dxa"/>
          </w:tcPr>
          <w:p w14:paraId="21C156B4" w14:textId="526D6452" w:rsidR="00B60F79" w:rsidRPr="00162C27" w:rsidRDefault="00B60F79" w:rsidP="00984851">
            <w:r w:rsidRPr="00162C27">
              <w:t>History of Physical Abuse</w:t>
            </w:r>
          </w:p>
        </w:tc>
        <w:tc>
          <w:tcPr>
            <w:tcW w:w="4675" w:type="dxa"/>
          </w:tcPr>
          <w:p w14:paraId="1127EA92" w14:textId="77777777" w:rsidR="00B60F79" w:rsidRPr="00162C27" w:rsidRDefault="00B60F79" w:rsidP="00984851">
            <w:pPr>
              <w:jc w:val="center"/>
            </w:pPr>
            <w:r w:rsidRPr="00162C27">
              <w:t>1.9%</w:t>
            </w:r>
          </w:p>
        </w:tc>
      </w:tr>
      <w:tr w:rsidR="00B60F79" w14:paraId="31A70277" w14:textId="77777777" w:rsidTr="00984851">
        <w:tc>
          <w:tcPr>
            <w:tcW w:w="4675" w:type="dxa"/>
          </w:tcPr>
          <w:p w14:paraId="1F1A339E" w14:textId="36E921DF" w:rsidR="00B60F79" w:rsidRPr="00162C27" w:rsidRDefault="004B704B" w:rsidP="00984851">
            <w:r>
              <w:lastRenderedPageBreak/>
              <w:t>A</w:t>
            </w:r>
            <w:r w:rsidR="00B60F79" w:rsidRPr="00162C27">
              <w:t>ffected by Someone Dying</w:t>
            </w:r>
          </w:p>
        </w:tc>
        <w:tc>
          <w:tcPr>
            <w:tcW w:w="4675" w:type="dxa"/>
          </w:tcPr>
          <w:p w14:paraId="4B3B0120" w14:textId="77777777" w:rsidR="00B60F79" w:rsidRPr="00162C27" w:rsidRDefault="00B60F79" w:rsidP="00984851">
            <w:pPr>
              <w:jc w:val="center"/>
            </w:pPr>
            <w:r w:rsidRPr="00162C27">
              <w:t>5.6%</w:t>
            </w:r>
          </w:p>
        </w:tc>
      </w:tr>
      <w:tr w:rsidR="00B60F79" w14:paraId="64723FFF" w14:textId="77777777" w:rsidTr="00984851">
        <w:tc>
          <w:tcPr>
            <w:tcW w:w="4675" w:type="dxa"/>
          </w:tcPr>
          <w:p w14:paraId="6F1660E6" w14:textId="28C532F1" w:rsidR="00B60F79" w:rsidRPr="00162C27" w:rsidRDefault="00B60F79" w:rsidP="00984851">
            <w:r w:rsidRPr="00162C27">
              <w:t>PTSD</w:t>
            </w:r>
            <w:r w:rsidR="004B704B">
              <w:t xml:space="preserve"> </w:t>
            </w:r>
            <w:r w:rsidR="004B704B" w:rsidRPr="00162C27">
              <w:t>Diagnosis</w:t>
            </w:r>
          </w:p>
        </w:tc>
        <w:tc>
          <w:tcPr>
            <w:tcW w:w="4675" w:type="dxa"/>
          </w:tcPr>
          <w:p w14:paraId="4890574F" w14:textId="77777777" w:rsidR="00B60F79" w:rsidRPr="00162C27" w:rsidRDefault="00B60F79" w:rsidP="00984851">
            <w:pPr>
              <w:jc w:val="center"/>
            </w:pPr>
            <w:r w:rsidRPr="00162C27">
              <w:t>5.6%</w:t>
            </w:r>
          </w:p>
        </w:tc>
      </w:tr>
      <w:tr w:rsidR="00B60F79" w14:paraId="56424612" w14:textId="77777777" w:rsidTr="00984851">
        <w:tc>
          <w:tcPr>
            <w:tcW w:w="4675" w:type="dxa"/>
          </w:tcPr>
          <w:p w14:paraId="0E0E12B9" w14:textId="77777777" w:rsidR="00B60F79" w:rsidRPr="00162C27" w:rsidRDefault="00B60F79" w:rsidP="00984851">
            <w:r w:rsidRPr="00162C27">
              <w:t>Victim of Domestic Violence</w:t>
            </w:r>
          </w:p>
        </w:tc>
        <w:tc>
          <w:tcPr>
            <w:tcW w:w="4675" w:type="dxa"/>
          </w:tcPr>
          <w:p w14:paraId="4CF10B10" w14:textId="77777777" w:rsidR="00B60F79" w:rsidRPr="00162C27" w:rsidRDefault="00B60F79" w:rsidP="00984851">
            <w:pPr>
              <w:jc w:val="center"/>
            </w:pPr>
            <w:r w:rsidRPr="00162C27">
              <w:t>2.8%</w:t>
            </w:r>
          </w:p>
        </w:tc>
      </w:tr>
      <w:tr w:rsidR="00B60F79" w14:paraId="0492F0F1" w14:textId="77777777" w:rsidTr="00984851">
        <w:tc>
          <w:tcPr>
            <w:tcW w:w="4675" w:type="dxa"/>
          </w:tcPr>
          <w:p w14:paraId="4786F189" w14:textId="3040139B" w:rsidR="00B60F79" w:rsidRPr="00162C27" w:rsidRDefault="00B60F79" w:rsidP="00984851">
            <w:r w:rsidRPr="00162C27">
              <w:t xml:space="preserve">Traumatically </w:t>
            </w:r>
            <w:r w:rsidR="004B704B">
              <w:t>A</w:t>
            </w:r>
            <w:r w:rsidR="004B704B" w:rsidRPr="00162C27">
              <w:t xml:space="preserve">ffected </w:t>
            </w:r>
            <w:r w:rsidRPr="00162C27">
              <w:t>by a Car Accident</w:t>
            </w:r>
          </w:p>
        </w:tc>
        <w:tc>
          <w:tcPr>
            <w:tcW w:w="4675" w:type="dxa"/>
          </w:tcPr>
          <w:p w14:paraId="1EECFC2C" w14:textId="77777777" w:rsidR="00B60F79" w:rsidRPr="00162C27" w:rsidRDefault="00B60F79" w:rsidP="00984851">
            <w:pPr>
              <w:jc w:val="center"/>
            </w:pPr>
            <w:r w:rsidRPr="00162C27">
              <w:t>17.8%</w:t>
            </w:r>
          </w:p>
        </w:tc>
      </w:tr>
      <w:tr w:rsidR="00B60F79" w14:paraId="24FC25D9" w14:textId="77777777" w:rsidTr="00984851">
        <w:tc>
          <w:tcPr>
            <w:tcW w:w="4675" w:type="dxa"/>
          </w:tcPr>
          <w:p w14:paraId="1431EF92" w14:textId="2BD57C82" w:rsidR="00B60F79" w:rsidRPr="00162C27" w:rsidRDefault="00B60F79" w:rsidP="00984851">
            <w:r w:rsidRPr="00162C27">
              <w:t xml:space="preserve">Traumatically </w:t>
            </w:r>
            <w:r w:rsidR="004B704B">
              <w:t>A</w:t>
            </w:r>
            <w:r w:rsidR="004B704B" w:rsidRPr="00162C27">
              <w:t xml:space="preserve">ffected </w:t>
            </w:r>
            <w:r w:rsidRPr="00162C27">
              <w:t xml:space="preserve">by </w:t>
            </w:r>
            <w:r w:rsidR="004B704B">
              <w:t>Other</w:t>
            </w:r>
            <w:r w:rsidR="004B704B" w:rsidRPr="00162C27">
              <w:t xml:space="preserve"> </w:t>
            </w:r>
            <w:r w:rsidRPr="00162C27">
              <w:t>Accident</w:t>
            </w:r>
          </w:p>
        </w:tc>
        <w:tc>
          <w:tcPr>
            <w:tcW w:w="4675" w:type="dxa"/>
          </w:tcPr>
          <w:p w14:paraId="5AC07959" w14:textId="77777777" w:rsidR="00B60F79" w:rsidRPr="00162C27" w:rsidRDefault="00B60F79" w:rsidP="00984851">
            <w:pPr>
              <w:jc w:val="center"/>
            </w:pPr>
            <w:r w:rsidRPr="00162C27">
              <w:t>2.8%</w:t>
            </w:r>
          </w:p>
        </w:tc>
      </w:tr>
      <w:tr w:rsidR="00B60F79" w14:paraId="5D17276F" w14:textId="77777777" w:rsidTr="00984851">
        <w:tc>
          <w:tcPr>
            <w:tcW w:w="4675" w:type="dxa"/>
          </w:tcPr>
          <w:p w14:paraId="7844B97D" w14:textId="77777777" w:rsidR="00B60F79" w:rsidRPr="00162C27" w:rsidRDefault="00B60F79" w:rsidP="00984851">
            <w:r w:rsidRPr="00162C27">
              <w:t>Neglected as a Child by Caregivers</w:t>
            </w:r>
          </w:p>
        </w:tc>
        <w:tc>
          <w:tcPr>
            <w:tcW w:w="4675" w:type="dxa"/>
          </w:tcPr>
          <w:p w14:paraId="7F8CF16F" w14:textId="77777777" w:rsidR="00B60F79" w:rsidRPr="00162C27" w:rsidRDefault="00B60F79" w:rsidP="00984851">
            <w:pPr>
              <w:jc w:val="center"/>
            </w:pPr>
            <w:r w:rsidRPr="00162C27">
              <w:t>0.9%</w:t>
            </w:r>
          </w:p>
        </w:tc>
      </w:tr>
      <w:tr w:rsidR="00B60F79" w14:paraId="4F1C353A" w14:textId="77777777" w:rsidTr="00984851">
        <w:tc>
          <w:tcPr>
            <w:tcW w:w="4675" w:type="dxa"/>
            <w:tcBorders>
              <w:bottom w:val="single" w:sz="12" w:space="0" w:color="auto"/>
            </w:tcBorders>
          </w:tcPr>
          <w:p w14:paraId="5C50ADC1" w14:textId="77777777" w:rsidR="00B60F79" w:rsidRPr="00162C27" w:rsidRDefault="00B60F79" w:rsidP="00984851">
            <w:r w:rsidRPr="00162C27">
              <w:t>Witness to an Overdose</w:t>
            </w:r>
          </w:p>
        </w:tc>
        <w:tc>
          <w:tcPr>
            <w:tcW w:w="4675" w:type="dxa"/>
            <w:tcBorders>
              <w:bottom w:val="single" w:sz="12" w:space="0" w:color="auto"/>
            </w:tcBorders>
          </w:tcPr>
          <w:p w14:paraId="1E26BC8D" w14:textId="77777777" w:rsidR="00B60F79" w:rsidRPr="00162C27" w:rsidRDefault="00B60F79" w:rsidP="00984851">
            <w:pPr>
              <w:jc w:val="center"/>
            </w:pPr>
            <w:r w:rsidRPr="00162C27">
              <w:t>0.9%</w:t>
            </w:r>
          </w:p>
        </w:tc>
      </w:tr>
    </w:tbl>
    <w:p w14:paraId="4BFB15E2" w14:textId="6275F83B" w:rsidR="00B60F79" w:rsidRDefault="00FC614A" w:rsidP="008641B4">
      <w:pPr>
        <w:spacing w:line="480" w:lineRule="auto"/>
      </w:pPr>
      <w:r>
        <w:t>Table 3: Traumatic Events Experienced by Decedents</w:t>
      </w:r>
    </w:p>
    <w:p w14:paraId="05A174FD" w14:textId="74C6664B" w:rsidR="00FC5E96" w:rsidRDefault="004B704B" w:rsidP="00390D2F">
      <w:pPr>
        <w:spacing w:line="480" w:lineRule="auto"/>
        <w:ind w:firstLine="720"/>
      </w:pPr>
      <w:r>
        <w:t xml:space="preserve">This data </w:t>
      </w:r>
      <w:r w:rsidR="00FC614A">
        <w:t xml:space="preserve">most likely </w:t>
      </w:r>
      <w:r>
        <w:t xml:space="preserve">under-represents </w:t>
      </w:r>
      <w:r w:rsidR="00FC614A">
        <w:t>the number of traumatic events experienced by this population</w:t>
      </w:r>
      <w:r>
        <w:t>; e</w:t>
      </w:r>
      <w:r w:rsidR="00FC614A">
        <w:t xml:space="preserve">ven if it </w:t>
      </w:r>
      <w:r>
        <w:t xml:space="preserve">does </w:t>
      </w:r>
      <w:r w:rsidR="00FC614A">
        <w:t>not, the fact that 29.9% of decedents experienced trauma further highlights the need for trauma</w:t>
      </w:r>
      <w:r>
        <w:t>-</w:t>
      </w:r>
      <w:r w:rsidR="00FC614A">
        <w:t>informed approaches to addressing SUD. Trauma</w:t>
      </w:r>
      <w:r>
        <w:t>-</w:t>
      </w:r>
      <w:r w:rsidR="00FC614A">
        <w:t>informed care is a widely used approach to address the detrimental effects of trauma on physical and psychological health (</w:t>
      </w:r>
      <w:r w:rsidR="00FC614A" w:rsidRPr="00451D2C">
        <w:t>Raja, et al. 2015</w:t>
      </w:r>
      <w:r w:rsidR="00FC614A">
        <w:t>). We propose two recommendations on this front. First, trauma screening needs to be further integrated</w:t>
      </w:r>
      <w:r>
        <w:t xml:space="preserve"> at all levels</w:t>
      </w:r>
      <w:r w:rsidR="00FC614A">
        <w:t xml:space="preserve"> into interactions with those afflicted with SUD</w:t>
      </w:r>
      <w:r>
        <w:t xml:space="preserve"> </w:t>
      </w:r>
      <w:r w:rsidR="00FC614A">
        <w:t>– treatment providers, law enforcement, medical professionals, and social service provide</w:t>
      </w:r>
      <w:r>
        <w:t>r</w:t>
      </w:r>
      <w:r w:rsidR="00FC614A">
        <w:t>s should implement measures to ensure more accurate representation and understanding of trauma experience</w:t>
      </w:r>
      <w:r>
        <w:t>s</w:t>
      </w:r>
      <w:r w:rsidR="00FC614A">
        <w:t xml:space="preserve">. Second, as more information is gathered about </w:t>
      </w:r>
      <w:r>
        <w:t xml:space="preserve">this population’s </w:t>
      </w:r>
      <w:r w:rsidR="00FC614A">
        <w:t>trauma experiences, t</w:t>
      </w:r>
      <w:r>
        <w:t>rauma-informed</w:t>
      </w:r>
      <w:r w:rsidR="00FC614A">
        <w:t xml:space="preserve"> practices ought to be implemented</w:t>
      </w:r>
      <w:r>
        <w:t xml:space="preserve"> accordingly</w:t>
      </w:r>
      <w:r w:rsidR="00FC614A">
        <w:t xml:space="preserve">. Drug and </w:t>
      </w:r>
      <w:r>
        <w:t>a</w:t>
      </w:r>
      <w:r w:rsidR="00FC614A">
        <w:t xml:space="preserve">lcohol treatment providers have already begun implementing these practices, and </w:t>
      </w:r>
      <w:r>
        <w:t xml:space="preserve">the </w:t>
      </w:r>
      <w:r w:rsidR="00FC614A">
        <w:t>D</w:t>
      </w:r>
      <w:r w:rsidR="00451D2C">
        <w:t>elaware Division of Substance Abuse and Mental Health</w:t>
      </w:r>
      <w:r w:rsidR="00FC614A">
        <w:t xml:space="preserve"> </w:t>
      </w:r>
      <w:r>
        <w:t xml:space="preserve">(DSAMH) </w:t>
      </w:r>
      <w:r w:rsidR="00FC614A">
        <w:t xml:space="preserve">has been an important partner in these efforts. </w:t>
      </w:r>
      <w:r>
        <w:t>We</w:t>
      </w:r>
      <w:r w:rsidR="00FC614A">
        <w:t xml:space="preserve"> believe this approach can be disseminated </w:t>
      </w:r>
      <w:r>
        <w:t xml:space="preserve">further, and </w:t>
      </w:r>
      <w:r w:rsidR="00FC614A">
        <w:t>more uniformly</w:t>
      </w:r>
      <w:r>
        <w:t>,</w:t>
      </w:r>
      <w:r w:rsidR="00FC614A">
        <w:t xml:space="preserve"> across treatment modalities, into medical treatment, and into interactions with law enforcement. </w:t>
      </w:r>
    </w:p>
    <w:p w14:paraId="057FAE43" w14:textId="0E4CE3A2" w:rsidR="00451D2C" w:rsidRDefault="00451D2C" w:rsidP="00451D2C">
      <w:pPr>
        <w:spacing w:line="480" w:lineRule="auto"/>
      </w:pPr>
    </w:p>
    <w:p w14:paraId="36C58688" w14:textId="704F6B73" w:rsidR="00451D2C" w:rsidRDefault="00451D2C" w:rsidP="00451D2C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Recommendation </w:t>
      </w:r>
      <w:r w:rsidR="00DC7023">
        <w:rPr>
          <w:b/>
          <w:bCs/>
          <w:i/>
          <w:iCs/>
        </w:rPr>
        <w:t>2</w:t>
      </w:r>
      <w:r>
        <w:rPr>
          <w:b/>
          <w:bCs/>
          <w:i/>
          <w:iCs/>
        </w:rPr>
        <w:t>: Broaden non-opioid alternative options for individuals with chronic pain</w:t>
      </w:r>
    </w:p>
    <w:p w14:paraId="5E6F8E88" w14:textId="78BBF309" w:rsidR="00451D2C" w:rsidRDefault="00451D2C" w:rsidP="00451D2C">
      <w:pPr>
        <w:rPr>
          <w:b/>
          <w:bCs/>
          <w:i/>
          <w:iCs/>
        </w:rPr>
      </w:pPr>
    </w:p>
    <w:p w14:paraId="3B6B2AC8" w14:textId="1FE29A24" w:rsidR="0007529A" w:rsidRDefault="00451D2C" w:rsidP="00FC5E96">
      <w:pPr>
        <w:spacing w:line="480" w:lineRule="auto"/>
      </w:pPr>
      <w:r>
        <w:tab/>
      </w:r>
      <w:r w:rsidRPr="00451D2C">
        <w:t xml:space="preserve">Throughout the opioid epidemic, focus has been </w:t>
      </w:r>
      <w:r w:rsidR="00C649BE">
        <w:t>directed</w:t>
      </w:r>
      <w:r w:rsidR="00C649BE" w:rsidRPr="00451D2C">
        <w:t xml:space="preserve"> </w:t>
      </w:r>
      <w:r w:rsidR="00C649BE">
        <w:t>to</w:t>
      </w:r>
      <w:r w:rsidR="00C649BE" w:rsidRPr="00451D2C">
        <w:t xml:space="preserve"> </w:t>
      </w:r>
      <w:r w:rsidRPr="00451D2C">
        <w:t>the role of pharmaceutical opioids in creating the first wave of the opioid epidemic</w:t>
      </w:r>
      <w:r w:rsidR="00C649BE">
        <w:t>,</w:t>
      </w:r>
      <w:r w:rsidRPr="00451D2C">
        <w:t xml:space="preserve"> which helped to fuel the second and third wave (Macy, 2018; Meier, 2018; Keefe, 2021). Delaware has made considerable </w:t>
      </w:r>
      <w:r w:rsidR="00C649BE">
        <w:t>progress</w:t>
      </w:r>
      <w:r w:rsidR="00C649BE" w:rsidRPr="00451D2C">
        <w:t xml:space="preserve"> </w:t>
      </w:r>
      <w:r w:rsidR="00C649BE">
        <w:lastRenderedPageBreak/>
        <w:t xml:space="preserve">through legislation </w:t>
      </w:r>
      <w:r w:rsidR="0031683E">
        <w:t xml:space="preserve">advocated for by non-profit, Attack Addiction, </w:t>
      </w:r>
      <w:r w:rsidR="00C649BE">
        <w:t>establishing a</w:t>
      </w:r>
      <w:r w:rsidRPr="00451D2C">
        <w:t xml:space="preserve"> </w:t>
      </w:r>
      <w:r w:rsidR="00C649BE">
        <w:t>prescription opioid impact fee</w:t>
      </w:r>
      <w:r w:rsidRPr="00451D2C">
        <w:t xml:space="preserve"> </w:t>
      </w:r>
      <w:r w:rsidR="00C649BE">
        <w:t>and</w:t>
      </w:r>
      <w:r w:rsidR="00167761">
        <w:t xml:space="preserve"> expansive opioid settlements secured by Attorney General Jennings</w:t>
      </w:r>
      <w:r w:rsidRPr="00451D2C">
        <w:t>. However, Delaware still prescribes opioids at a high rate.</w:t>
      </w:r>
      <w:r w:rsidR="0045350D">
        <w:t xml:space="preserve">  Given </w:t>
      </w:r>
      <w:r w:rsidR="00E71671">
        <w:t>this</w:t>
      </w:r>
      <w:r w:rsidR="00E71671" w:rsidRPr="00451D2C">
        <w:t xml:space="preserve"> we</w:t>
      </w:r>
      <w:r w:rsidRPr="00451D2C">
        <w:t xml:space="preserve"> sought to explore chronic pain histories in our sample of overdose victims. </w:t>
      </w:r>
    </w:p>
    <w:p w14:paraId="798A2DC8" w14:textId="40531258" w:rsidR="00451D2C" w:rsidRDefault="00451D2C" w:rsidP="00390D2F">
      <w:pPr>
        <w:spacing w:line="480" w:lineRule="auto"/>
        <w:ind w:firstLine="720"/>
      </w:pPr>
      <w:r w:rsidRPr="00451D2C">
        <w:t xml:space="preserve">Our findings show that 30.8% of decedents had a history of chronic pain. Of those with a history of chronic pain, 68.8% suffered from chronic back pain. </w:t>
      </w:r>
      <w:r w:rsidR="00167761" w:rsidRPr="00451D2C">
        <w:t>Considering</w:t>
      </w:r>
      <w:r w:rsidRPr="00451D2C">
        <w:t xml:space="preserve"> how the treatment of chronic pain with opioids has been </w:t>
      </w:r>
      <w:r w:rsidR="00167761">
        <w:t>well-</w:t>
      </w:r>
      <w:r w:rsidRPr="00451D2C">
        <w:t>document</w:t>
      </w:r>
      <w:r w:rsidR="00167761">
        <w:t>ed</w:t>
      </w:r>
      <w:r w:rsidRPr="00451D2C">
        <w:t xml:space="preserve"> in contributing to the opioid epidemic, we recommend that Delaware seeks to broaden non-opioid based alternative treatment options for chronic pain. This is not to say that opioid pain treatment does not serve a purpose, but rather to argue that more alternatives ought to be provided. For example, West Virginia</w:t>
      </w:r>
      <w:r w:rsidR="0007529A">
        <w:t xml:space="preserve">, </w:t>
      </w:r>
      <w:r w:rsidRPr="00451D2C">
        <w:t>the state with the highest</w:t>
      </w:r>
      <w:r w:rsidR="0007529A">
        <w:t xml:space="preserve"> per-capita</w:t>
      </w:r>
      <w:r w:rsidRPr="00451D2C">
        <w:t xml:space="preserve"> </w:t>
      </w:r>
      <w:r w:rsidR="0007529A">
        <w:t xml:space="preserve">fatal </w:t>
      </w:r>
      <w:r w:rsidRPr="00451D2C">
        <w:t>overdose rate</w:t>
      </w:r>
      <w:r w:rsidR="0007529A">
        <w:t>,</w:t>
      </w:r>
      <w:r w:rsidRPr="00451D2C">
        <w:t xml:space="preserve"> has begun exploring </w:t>
      </w:r>
      <w:proofErr w:type="spellStart"/>
      <w:r w:rsidRPr="00451D2C">
        <w:t>photobiomodulation</w:t>
      </w:r>
      <w:proofErr w:type="spellEnd"/>
      <w:r>
        <w:t xml:space="preserve"> as an alternative </w:t>
      </w:r>
      <w:r w:rsidR="0007529A">
        <w:t>treatment for</w:t>
      </w:r>
      <w:r>
        <w:t xml:space="preserve"> chronic pain. Delaware, </w:t>
      </w:r>
      <w:r w:rsidR="0007529A">
        <w:t>which likewise has</w:t>
      </w:r>
      <w:r>
        <w:t xml:space="preserve"> </w:t>
      </w:r>
      <w:r w:rsidR="0007529A">
        <w:t xml:space="preserve">one </w:t>
      </w:r>
      <w:r>
        <w:t xml:space="preserve">of the </w:t>
      </w:r>
      <w:r w:rsidR="0007529A">
        <w:t xml:space="preserve">nation’s </w:t>
      </w:r>
      <w:r>
        <w:t xml:space="preserve">highest </w:t>
      </w:r>
      <w:r w:rsidR="0007529A">
        <w:t xml:space="preserve">fatal overdose </w:t>
      </w:r>
      <w:r>
        <w:t xml:space="preserve">rates, should also engage in these efforts of </w:t>
      </w:r>
      <w:r w:rsidR="0045350D">
        <w:t xml:space="preserve">exploring </w:t>
      </w:r>
      <w:r>
        <w:t>alternative pain management plans.</w:t>
      </w:r>
      <w:r w:rsidR="007748F7">
        <w:tab/>
      </w:r>
    </w:p>
    <w:p w14:paraId="0F944506" w14:textId="0E0EB829" w:rsidR="00167761" w:rsidRPr="00053FB3" w:rsidRDefault="00167761" w:rsidP="00FC5E96">
      <w:pPr>
        <w:spacing w:line="480" w:lineRule="auto"/>
        <w:rPr>
          <w:b/>
          <w:bCs/>
        </w:rPr>
      </w:pPr>
      <w:r>
        <w:tab/>
      </w:r>
      <w:r w:rsidRPr="00053FB3">
        <w:rPr>
          <w:b/>
          <w:bCs/>
        </w:rPr>
        <w:t xml:space="preserve">The recommendations listed in this report tie tightly to </w:t>
      </w:r>
      <w:r w:rsidR="0007529A" w:rsidRPr="00053FB3">
        <w:rPr>
          <w:b/>
          <w:bCs/>
        </w:rPr>
        <w:t>DOFRC’s</w:t>
      </w:r>
      <w:r w:rsidRPr="00053FB3">
        <w:rPr>
          <w:b/>
          <w:bCs/>
        </w:rPr>
        <w:t xml:space="preserve"> </w:t>
      </w:r>
      <w:r w:rsidR="0007529A" w:rsidRPr="00053FB3">
        <w:rPr>
          <w:b/>
          <w:bCs/>
        </w:rPr>
        <w:t xml:space="preserve">2021 </w:t>
      </w:r>
      <w:r w:rsidRPr="00053FB3">
        <w:rPr>
          <w:b/>
          <w:bCs/>
        </w:rPr>
        <w:t xml:space="preserve">recommendations, </w:t>
      </w:r>
      <w:r w:rsidR="0007529A" w:rsidRPr="00053FB3">
        <w:rPr>
          <w:b/>
          <w:bCs/>
        </w:rPr>
        <w:t>which</w:t>
      </w:r>
      <w:r w:rsidRPr="00053FB3">
        <w:rPr>
          <w:b/>
          <w:bCs/>
        </w:rPr>
        <w:t xml:space="preserve"> </w:t>
      </w:r>
      <w:r w:rsidR="00D77382" w:rsidRPr="00053FB3">
        <w:rPr>
          <w:b/>
          <w:bCs/>
        </w:rPr>
        <w:t xml:space="preserve">remain </w:t>
      </w:r>
      <w:r w:rsidRPr="00053FB3">
        <w:rPr>
          <w:b/>
          <w:bCs/>
        </w:rPr>
        <w:t>relevant and necessary:</w:t>
      </w:r>
    </w:p>
    <w:p w14:paraId="7DAD9210" w14:textId="65BBB3D1" w:rsidR="00167761" w:rsidRDefault="00167761" w:rsidP="00390D2F">
      <w:pPr>
        <w:pStyle w:val="ListParagraph"/>
        <w:numPr>
          <w:ilvl w:val="0"/>
          <w:numId w:val="6"/>
        </w:numPr>
        <w:spacing w:line="480" w:lineRule="auto"/>
      </w:pPr>
      <w:r>
        <w:t xml:space="preserve">Provide safe and secure housing through the </w:t>
      </w:r>
      <w:proofErr w:type="gramStart"/>
      <w:r>
        <w:t>empirically-backed</w:t>
      </w:r>
      <w:proofErr w:type="gramEnd"/>
      <w:r>
        <w:t xml:space="preserve"> Housing First model for unhoused or unstably housed individuals. </w:t>
      </w:r>
    </w:p>
    <w:p w14:paraId="125A04BC" w14:textId="09F03170" w:rsidR="00167761" w:rsidRDefault="00167761" w:rsidP="00390D2F">
      <w:pPr>
        <w:pStyle w:val="ListParagraph"/>
        <w:numPr>
          <w:ilvl w:val="0"/>
          <w:numId w:val="6"/>
        </w:numPr>
        <w:spacing w:line="480" w:lineRule="auto"/>
      </w:pPr>
      <w:r>
        <w:t>Expand Continuing Education availability for Licensed Clinicians to increase knowledge of Trauma Intervention Services</w:t>
      </w:r>
      <w:r w:rsidR="007A3668">
        <w:t xml:space="preserve">. </w:t>
      </w:r>
    </w:p>
    <w:p w14:paraId="62BBF03D" w14:textId="5EA54EDB" w:rsidR="00167761" w:rsidRDefault="00167761" w:rsidP="00390D2F">
      <w:pPr>
        <w:pStyle w:val="ListParagraph"/>
        <w:numPr>
          <w:ilvl w:val="0"/>
          <w:numId w:val="6"/>
        </w:numPr>
        <w:spacing w:line="480" w:lineRule="auto"/>
      </w:pPr>
      <w:r>
        <w:t xml:space="preserve">Intervene for those whose contact with law enforcement does not result in arrest or incarceration; and initiate substance abuse treatment services immediately following incarceration for inmates awaiting sentencing. </w:t>
      </w:r>
    </w:p>
    <w:p w14:paraId="0F435C39" w14:textId="06CF181B" w:rsidR="00167761" w:rsidRDefault="00167761" w:rsidP="00390D2F">
      <w:pPr>
        <w:pStyle w:val="ListParagraph"/>
        <w:numPr>
          <w:ilvl w:val="0"/>
          <w:numId w:val="6"/>
        </w:numPr>
        <w:spacing w:line="480" w:lineRule="auto"/>
      </w:pPr>
      <w:r>
        <w:lastRenderedPageBreak/>
        <w:t xml:space="preserve">Establish a notification system within the Prescription Monitoring Program to ensure prescribers are aware of patient non-fatal overdose(s). </w:t>
      </w:r>
    </w:p>
    <w:p w14:paraId="406BE092" w14:textId="51DC708A" w:rsidR="00167761" w:rsidRDefault="00167761" w:rsidP="00390D2F">
      <w:pPr>
        <w:pStyle w:val="ListParagraph"/>
        <w:numPr>
          <w:ilvl w:val="0"/>
          <w:numId w:val="6"/>
        </w:numPr>
        <w:spacing w:line="480" w:lineRule="auto"/>
      </w:pPr>
      <w:r>
        <w:t>Improve outreach and follow-up with individuals who engaged in substance abuse related treatment.</w:t>
      </w:r>
    </w:p>
    <w:p w14:paraId="733365BA" w14:textId="5D7E3121" w:rsidR="00167761" w:rsidRDefault="00167761" w:rsidP="00FC5E96">
      <w:pPr>
        <w:spacing w:line="480" w:lineRule="auto"/>
      </w:pPr>
    </w:p>
    <w:p w14:paraId="34D5A274" w14:textId="4B37BC1A" w:rsidR="00451D2C" w:rsidRDefault="00451D2C" w:rsidP="00451D2C">
      <w:pPr>
        <w:jc w:val="center"/>
        <w:rPr>
          <w:b/>
          <w:bCs/>
          <w:u w:val="single"/>
        </w:rPr>
      </w:pPr>
      <w:r>
        <w:br w:type="page"/>
      </w:r>
      <w:r>
        <w:rPr>
          <w:b/>
          <w:bCs/>
          <w:u w:val="single"/>
        </w:rPr>
        <w:lastRenderedPageBreak/>
        <w:t>References</w:t>
      </w:r>
    </w:p>
    <w:p w14:paraId="6D725D5B" w14:textId="57744C31" w:rsidR="00451D2C" w:rsidRDefault="00451D2C" w:rsidP="00451D2C">
      <w:pPr>
        <w:rPr>
          <w:b/>
          <w:bCs/>
          <w:u w:val="single"/>
        </w:rPr>
      </w:pPr>
    </w:p>
    <w:p w14:paraId="0598E657" w14:textId="0E140358" w:rsidR="00451D2C" w:rsidRDefault="00451D2C" w:rsidP="00451D2C">
      <w:r w:rsidRPr="00451D2C">
        <w:t xml:space="preserve">Desmond, M. (2016). </w:t>
      </w:r>
      <w:r w:rsidRPr="00451D2C">
        <w:rPr>
          <w:i/>
          <w:iCs/>
        </w:rPr>
        <w:t xml:space="preserve">Evicted: Poverty and profit in the American city. </w:t>
      </w:r>
      <w:r w:rsidRPr="00451D2C">
        <w:t xml:space="preserve">Crown. </w:t>
      </w:r>
    </w:p>
    <w:p w14:paraId="30D11160" w14:textId="77777777" w:rsidR="00451D2C" w:rsidRPr="00451D2C" w:rsidRDefault="00451D2C" w:rsidP="00451D2C"/>
    <w:p w14:paraId="7DDC9581" w14:textId="3F9300F7" w:rsidR="00451D2C" w:rsidRPr="00451D2C" w:rsidRDefault="00451D2C" w:rsidP="00451D2C">
      <w:proofErr w:type="spellStart"/>
      <w:r w:rsidRPr="00451D2C">
        <w:t>Dynia</w:t>
      </w:r>
      <w:proofErr w:type="spellEnd"/>
      <w:r w:rsidRPr="00451D2C">
        <w:t>, P. &amp; Sung, H. (2000). The safety and effectiveness of diverting felony drug offenders to</w:t>
      </w:r>
    </w:p>
    <w:p w14:paraId="2DC4EFAB" w14:textId="4512B76E" w:rsidR="00451D2C" w:rsidRDefault="00451D2C" w:rsidP="00451D2C">
      <w:pPr>
        <w:ind w:left="720"/>
        <w:rPr>
          <w:shd w:val="clear" w:color="auto" w:fill="FFFFFF"/>
        </w:rPr>
      </w:pPr>
      <w:r w:rsidRPr="00451D2C">
        <w:t xml:space="preserve">residential treatment as measured by recidivism. </w:t>
      </w:r>
      <w:r w:rsidRPr="00451D2C">
        <w:rPr>
          <w:i/>
          <w:iCs/>
        </w:rPr>
        <w:t>Criminal Justice Policy Review 11</w:t>
      </w:r>
      <w:r w:rsidRPr="00451D2C">
        <w:t xml:space="preserve">(4). </w:t>
      </w:r>
      <w:hyperlink r:id="rId11" w:history="1">
        <w:r w:rsidRPr="00087596">
          <w:rPr>
            <w:rStyle w:val="Hyperlink"/>
            <w:shd w:val="clear" w:color="auto" w:fill="FFFFFF"/>
          </w:rPr>
          <w:t>https://doi.org/10.1177/0887403400011004002</w:t>
        </w:r>
      </w:hyperlink>
    </w:p>
    <w:p w14:paraId="5807ECEC" w14:textId="77777777" w:rsidR="00451D2C" w:rsidRPr="00451D2C" w:rsidRDefault="00451D2C" w:rsidP="00451D2C">
      <w:pPr>
        <w:ind w:left="720"/>
      </w:pPr>
    </w:p>
    <w:p w14:paraId="49F5B51E" w14:textId="5C8D24AD" w:rsidR="00451D2C" w:rsidRPr="00451D2C" w:rsidRDefault="00451D2C" w:rsidP="00451D2C">
      <w:r w:rsidRPr="00451D2C">
        <w:t xml:space="preserve">Han, B., Compton, W. M., Blanco, C., &amp; </w:t>
      </w:r>
      <w:proofErr w:type="spellStart"/>
      <w:r w:rsidRPr="00451D2C">
        <w:t>Colpe</w:t>
      </w:r>
      <w:proofErr w:type="spellEnd"/>
      <w:r w:rsidRPr="00451D2C">
        <w:t xml:space="preserve">, L. J. (2017). </w:t>
      </w:r>
      <w:proofErr w:type="spellStart"/>
      <w:r w:rsidRPr="00451D2C">
        <w:t>Prevelence</w:t>
      </w:r>
      <w:proofErr w:type="spellEnd"/>
      <w:r w:rsidRPr="00451D2C">
        <w:t>, treatment, and unmet</w:t>
      </w:r>
    </w:p>
    <w:p w14:paraId="06535673" w14:textId="320CB454" w:rsidR="00451D2C" w:rsidRDefault="00451D2C" w:rsidP="00451D2C">
      <w:pPr>
        <w:ind w:left="720"/>
        <w:rPr>
          <w:color w:val="000000"/>
          <w:shd w:val="clear" w:color="auto" w:fill="FFFFFF"/>
        </w:rPr>
      </w:pPr>
      <w:r w:rsidRPr="00451D2C">
        <w:t xml:space="preserve">needs of US adults with mental health and substance use disorders. </w:t>
      </w:r>
      <w:r w:rsidRPr="00451D2C">
        <w:rPr>
          <w:i/>
          <w:iCs/>
        </w:rPr>
        <w:t>Health Affairs 36</w:t>
      </w:r>
      <w:r w:rsidRPr="00451D2C">
        <w:t xml:space="preserve">(10). </w:t>
      </w:r>
      <w:r w:rsidRPr="00451D2C">
        <w:br/>
      </w:r>
      <w:hyperlink r:id="rId12" w:history="1">
        <w:r w:rsidRPr="00087596">
          <w:rPr>
            <w:rStyle w:val="Hyperlink"/>
            <w:shd w:val="clear" w:color="auto" w:fill="FFFFFF"/>
          </w:rPr>
          <w:t>https://doi.org/10.1377/hlthaff.2017.0584</w:t>
        </w:r>
      </w:hyperlink>
    </w:p>
    <w:p w14:paraId="62E5552C" w14:textId="77777777" w:rsidR="00451D2C" w:rsidRPr="00451D2C" w:rsidRDefault="00451D2C" w:rsidP="00451D2C">
      <w:pPr>
        <w:ind w:left="720"/>
        <w:rPr>
          <w:color w:val="000000"/>
          <w:shd w:val="clear" w:color="auto" w:fill="FFFFFF"/>
        </w:rPr>
      </w:pPr>
    </w:p>
    <w:p w14:paraId="40BC9030" w14:textId="3F2BCAE8" w:rsidR="00451D2C" w:rsidRPr="00451D2C" w:rsidRDefault="00451D2C" w:rsidP="00451D2C">
      <w:pPr>
        <w:rPr>
          <w:color w:val="000000"/>
          <w:shd w:val="clear" w:color="auto" w:fill="FFFFFF"/>
        </w:rPr>
      </w:pPr>
      <w:r w:rsidRPr="00451D2C">
        <w:rPr>
          <w:color w:val="000000"/>
          <w:shd w:val="clear" w:color="auto" w:fill="FFFFFF"/>
        </w:rPr>
        <w:t xml:space="preserve">Keefe, P. R. (2021). </w:t>
      </w:r>
      <w:r w:rsidRPr="00451D2C">
        <w:rPr>
          <w:i/>
          <w:iCs/>
          <w:color w:val="000000"/>
          <w:shd w:val="clear" w:color="auto" w:fill="FFFFFF"/>
        </w:rPr>
        <w:t xml:space="preserve">Empire of pain: The secret history of the Sackler dynasty. </w:t>
      </w:r>
      <w:r w:rsidRPr="00451D2C">
        <w:rPr>
          <w:color w:val="000000"/>
          <w:shd w:val="clear" w:color="auto" w:fill="FFFFFF"/>
        </w:rPr>
        <w:t>Doubleday.</w:t>
      </w:r>
    </w:p>
    <w:p w14:paraId="12F89D4F" w14:textId="77777777" w:rsidR="00D77382" w:rsidRDefault="00D77382" w:rsidP="00451D2C"/>
    <w:p w14:paraId="50296B81" w14:textId="231C626C" w:rsidR="00451D2C" w:rsidRPr="00451D2C" w:rsidRDefault="00451D2C" w:rsidP="00451D2C">
      <w:pPr>
        <w:rPr>
          <w:i/>
          <w:iCs/>
        </w:rPr>
      </w:pPr>
      <w:r w:rsidRPr="00451D2C">
        <w:t xml:space="preserve">Lawes, J. (2022). Trauma: A gateway to substance use disorder. </w:t>
      </w:r>
      <w:r w:rsidRPr="00451D2C">
        <w:rPr>
          <w:i/>
          <w:iCs/>
        </w:rPr>
        <w:t>Delaware Journal of Public</w:t>
      </w:r>
    </w:p>
    <w:p w14:paraId="6322D70D" w14:textId="2C6ED58E" w:rsidR="00451D2C" w:rsidRDefault="00451D2C" w:rsidP="00451D2C">
      <w:pPr>
        <w:ind w:firstLine="720"/>
        <w:rPr>
          <w:shd w:val="clear" w:color="auto" w:fill="FFFFFF"/>
        </w:rPr>
      </w:pPr>
      <w:r w:rsidRPr="00451D2C">
        <w:rPr>
          <w:i/>
          <w:iCs/>
        </w:rPr>
        <w:t>Health 8</w:t>
      </w:r>
      <w:r w:rsidRPr="00451D2C">
        <w:t xml:space="preserve">(2), 86-97. </w:t>
      </w:r>
      <w:r w:rsidRPr="00451D2C">
        <w:rPr>
          <w:shd w:val="clear" w:color="auto" w:fill="FFFFFF"/>
        </w:rPr>
        <w:t>10.32481/djph.2022.05.011</w:t>
      </w:r>
    </w:p>
    <w:p w14:paraId="330376AA" w14:textId="77777777" w:rsidR="00451D2C" w:rsidRPr="00451D2C" w:rsidRDefault="00451D2C" w:rsidP="00451D2C">
      <w:pPr>
        <w:ind w:firstLine="720"/>
        <w:rPr>
          <w:shd w:val="clear" w:color="auto" w:fill="FFFFFF"/>
        </w:rPr>
      </w:pPr>
    </w:p>
    <w:p w14:paraId="46C2FAC8" w14:textId="77777777" w:rsidR="00451D2C" w:rsidRPr="00451D2C" w:rsidRDefault="00451D2C" w:rsidP="00451D2C">
      <w:pPr>
        <w:rPr>
          <w:i/>
          <w:iCs/>
          <w:shd w:val="clear" w:color="auto" w:fill="FFFFFF"/>
        </w:rPr>
      </w:pPr>
      <w:proofErr w:type="spellStart"/>
      <w:r w:rsidRPr="00451D2C">
        <w:rPr>
          <w:shd w:val="clear" w:color="auto" w:fill="FFFFFF"/>
        </w:rPr>
        <w:t>Leasure</w:t>
      </w:r>
      <w:proofErr w:type="spellEnd"/>
      <w:r w:rsidRPr="00451D2C">
        <w:rPr>
          <w:shd w:val="clear" w:color="auto" w:fill="FFFFFF"/>
        </w:rPr>
        <w:t xml:space="preserve">, P. (2019). Securing private housing with a criminal record. </w:t>
      </w:r>
      <w:r w:rsidRPr="00451D2C">
        <w:rPr>
          <w:i/>
          <w:iCs/>
          <w:shd w:val="clear" w:color="auto" w:fill="FFFFFF"/>
        </w:rPr>
        <w:t>Journal of Offender</w:t>
      </w:r>
    </w:p>
    <w:p w14:paraId="2B5C22F8" w14:textId="6FA0D101" w:rsidR="00451D2C" w:rsidRDefault="00451D2C" w:rsidP="00451D2C">
      <w:pPr>
        <w:ind w:firstLine="720"/>
        <w:rPr>
          <w:color w:val="333333"/>
        </w:rPr>
      </w:pPr>
      <w:r w:rsidRPr="00451D2C">
        <w:rPr>
          <w:i/>
          <w:iCs/>
          <w:shd w:val="clear" w:color="auto" w:fill="FFFFFF"/>
        </w:rPr>
        <w:t>Rehabilitation 58</w:t>
      </w:r>
      <w:r w:rsidRPr="00451D2C">
        <w:rPr>
          <w:shd w:val="clear" w:color="auto" w:fill="FFFFFF"/>
        </w:rPr>
        <w:t xml:space="preserve">(1), 30-49. </w:t>
      </w:r>
      <w:hyperlink r:id="rId13" w:history="1">
        <w:r w:rsidRPr="00087596">
          <w:rPr>
            <w:rStyle w:val="Hyperlink"/>
          </w:rPr>
          <w:t>https://doi.org/10.1080/10509674.2018.1549182</w:t>
        </w:r>
      </w:hyperlink>
    </w:p>
    <w:p w14:paraId="4A047C9F" w14:textId="77777777" w:rsidR="00451D2C" w:rsidRPr="00451D2C" w:rsidRDefault="00451D2C" w:rsidP="00451D2C">
      <w:pPr>
        <w:ind w:firstLine="720"/>
        <w:rPr>
          <w:shd w:val="clear" w:color="auto" w:fill="FFFFFF"/>
        </w:rPr>
      </w:pPr>
    </w:p>
    <w:p w14:paraId="4F117B9E" w14:textId="77777777" w:rsidR="00451D2C" w:rsidRPr="00451D2C" w:rsidRDefault="00451D2C" w:rsidP="00451D2C">
      <w:r w:rsidRPr="00451D2C">
        <w:t xml:space="preserve">Macy, B. (2018). </w:t>
      </w:r>
      <w:proofErr w:type="spellStart"/>
      <w:r w:rsidRPr="00451D2C">
        <w:rPr>
          <w:i/>
          <w:iCs/>
        </w:rPr>
        <w:t>Dopesick</w:t>
      </w:r>
      <w:proofErr w:type="spellEnd"/>
      <w:r w:rsidRPr="00451D2C">
        <w:rPr>
          <w:i/>
          <w:iCs/>
        </w:rPr>
        <w:t>: Dealers, doctors, and the drug company that addicted America</w:t>
      </w:r>
      <w:r w:rsidRPr="00451D2C">
        <w:t>.</w:t>
      </w:r>
    </w:p>
    <w:p w14:paraId="31E14324" w14:textId="077F0A47" w:rsidR="00451D2C" w:rsidRDefault="00451D2C" w:rsidP="00451D2C">
      <w:pPr>
        <w:ind w:firstLine="720"/>
      </w:pPr>
      <w:r w:rsidRPr="00451D2C">
        <w:t xml:space="preserve">Little, </w:t>
      </w:r>
      <w:proofErr w:type="gramStart"/>
      <w:r w:rsidRPr="00451D2C">
        <w:t>Brown</w:t>
      </w:r>
      <w:proofErr w:type="gramEnd"/>
      <w:r w:rsidRPr="00451D2C">
        <w:t xml:space="preserve"> and Company.</w:t>
      </w:r>
    </w:p>
    <w:p w14:paraId="2FBA0376" w14:textId="77777777" w:rsidR="00451D2C" w:rsidRPr="00451D2C" w:rsidRDefault="00451D2C" w:rsidP="00451D2C">
      <w:pPr>
        <w:ind w:firstLine="720"/>
      </w:pPr>
    </w:p>
    <w:p w14:paraId="4F00F527" w14:textId="77777777" w:rsidR="00451D2C" w:rsidRPr="00451D2C" w:rsidRDefault="00451D2C" w:rsidP="00451D2C">
      <w:pPr>
        <w:rPr>
          <w:i/>
          <w:iCs/>
        </w:rPr>
      </w:pPr>
      <w:r w:rsidRPr="00451D2C">
        <w:t xml:space="preserve">Meier, B. (2018). </w:t>
      </w:r>
      <w:r w:rsidRPr="00451D2C">
        <w:rPr>
          <w:i/>
          <w:iCs/>
        </w:rPr>
        <w:t>Pain killer: An empire of deceit and the origins of America’s opioid epidemic.</w:t>
      </w:r>
    </w:p>
    <w:p w14:paraId="25C24A44" w14:textId="0E238C27" w:rsidR="00451D2C" w:rsidRDefault="00451D2C" w:rsidP="00451D2C">
      <w:pPr>
        <w:ind w:firstLine="720"/>
      </w:pPr>
      <w:r w:rsidRPr="00451D2C">
        <w:t>Random House.</w:t>
      </w:r>
    </w:p>
    <w:p w14:paraId="04C4762F" w14:textId="77777777" w:rsidR="00451D2C" w:rsidRPr="00451D2C" w:rsidRDefault="00451D2C" w:rsidP="00451D2C">
      <w:pPr>
        <w:ind w:firstLine="720"/>
      </w:pPr>
    </w:p>
    <w:p w14:paraId="1D3D1C69" w14:textId="2F357BF5" w:rsidR="00451D2C" w:rsidRPr="00451D2C" w:rsidRDefault="00451D2C" w:rsidP="00451D2C">
      <w:pPr>
        <w:rPr>
          <w:i/>
          <w:iCs/>
        </w:rPr>
      </w:pPr>
      <w:r w:rsidRPr="00451D2C">
        <w:t xml:space="preserve">Morgan, O. J. (2009). Thoughts on the interaction of trauma, addiction, and spirituality. </w:t>
      </w:r>
      <w:r w:rsidRPr="00451D2C">
        <w:rPr>
          <w:i/>
          <w:iCs/>
        </w:rPr>
        <w:t>Journal</w:t>
      </w:r>
    </w:p>
    <w:p w14:paraId="3BDD48DB" w14:textId="7FF69D85" w:rsidR="00451D2C" w:rsidRDefault="00451D2C" w:rsidP="00451D2C">
      <w:pPr>
        <w:ind w:firstLine="720"/>
      </w:pPr>
      <w:r w:rsidRPr="00451D2C">
        <w:rPr>
          <w:i/>
          <w:iCs/>
        </w:rPr>
        <w:t>of Addictions &amp; Offender Counseling, 30</w:t>
      </w:r>
      <w:r w:rsidRPr="00451D2C">
        <w:t xml:space="preserve">(1), 5-15. </w:t>
      </w:r>
    </w:p>
    <w:p w14:paraId="3305FD37" w14:textId="77777777" w:rsidR="00451D2C" w:rsidRPr="00451D2C" w:rsidRDefault="00451D2C" w:rsidP="00451D2C">
      <w:pPr>
        <w:ind w:firstLine="720"/>
      </w:pPr>
    </w:p>
    <w:p w14:paraId="74AEC58A" w14:textId="77777777" w:rsidR="00451D2C" w:rsidRPr="00451D2C" w:rsidRDefault="00451D2C" w:rsidP="00451D2C">
      <w:pPr>
        <w:rPr>
          <w:color w:val="212121"/>
          <w:shd w:val="clear" w:color="auto" w:fill="FFFFFF"/>
        </w:rPr>
      </w:pPr>
      <w:proofErr w:type="spellStart"/>
      <w:r w:rsidRPr="00451D2C">
        <w:rPr>
          <w:color w:val="212121"/>
          <w:shd w:val="clear" w:color="auto" w:fill="FFFFFF"/>
        </w:rPr>
        <w:t>Munchel</w:t>
      </w:r>
      <w:proofErr w:type="spellEnd"/>
      <w:r w:rsidRPr="00451D2C">
        <w:rPr>
          <w:color w:val="212121"/>
          <w:shd w:val="clear" w:color="auto" w:fill="FFFFFF"/>
        </w:rPr>
        <w:t>, W. (2017). Trauma is the gateway drug – an ACE’S informed approach to</w:t>
      </w:r>
    </w:p>
    <w:p w14:paraId="57D323D8" w14:textId="6871E6C3" w:rsidR="00451D2C" w:rsidRPr="00451D2C" w:rsidRDefault="00451D2C" w:rsidP="00451D2C">
      <w:pPr>
        <w:ind w:firstLine="720"/>
        <w:rPr>
          <w:color w:val="212121"/>
          <w:shd w:val="clear" w:color="auto" w:fill="FFFFFF"/>
        </w:rPr>
      </w:pPr>
      <w:r w:rsidRPr="00451D2C">
        <w:rPr>
          <w:color w:val="212121"/>
          <w:shd w:val="clear" w:color="auto" w:fill="FFFFFF"/>
        </w:rPr>
        <w:t xml:space="preserve">substance abuse treatment. </w:t>
      </w:r>
      <w:r w:rsidRPr="00451D2C">
        <w:rPr>
          <w:i/>
          <w:iCs/>
          <w:color w:val="212121"/>
          <w:shd w:val="clear" w:color="auto" w:fill="FFFFFF"/>
        </w:rPr>
        <w:t>Children’s Mental Health Network</w:t>
      </w:r>
      <w:r w:rsidRPr="00451D2C">
        <w:rPr>
          <w:color w:val="212121"/>
          <w:shd w:val="clear" w:color="auto" w:fill="FFFFFF"/>
        </w:rPr>
        <w:t>. </w:t>
      </w:r>
    </w:p>
    <w:p w14:paraId="1B31A642" w14:textId="676762C6" w:rsidR="00451D2C" w:rsidRDefault="00053FB3" w:rsidP="00451D2C">
      <w:pPr>
        <w:ind w:left="720"/>
        <w:rPr>
          <w:shd w:val="clear" w:color="auto" w:fill="FFFFFF"/>
        </w:rPr>
      </w:pPr>
      <w:hyperlink r:id="rId14" w:history="1">
        <w:r w:rsidR="00451D2C" w:rsidRPr="00087596">
          <w:rPr>
            <w:rStyle w:val="Hyperlink"/>
            <w:shd w:val="clear" w:color="auto" w:fill="FFFFFF"/>
          </w:rPr>
          <w:t>https://www.cmhnetwork.org/news/trauma-is-the-gateway-drug-an-aces-informed-approach-to-substance-abuse-treatment/</w:t>
        </w:r>
      </w:hyperlink>
    </w:p>
    <w:p w14:paraId="038C44C4" w14:textId="77777777" w:rsidR="00451D2C" w:rsidRPr="00451D2C" w:rsidRDefault="00451D2C" w:rsidP="00451D2C">
      <w:pPr>
        <w:ind w:left="720"/>
      </w:pPr>
    </w:p>
    <w:p w14:paraId="292376FB" w14:textId="77777777" w:rsidR="00451D2C" w:rsidRPr="00451D2C" w:rsidRDefault="00451D2C" w:rsidP="00451D2C">
      <w:r w:rsidRPr="00451D2C">
        <w:t>Norman, S. B., Tate, S. R., Anderson, K. G., &amp; Brown, S. A. (2007). Do trauma history and</w:t>
      </w:r>
    </w:p>
    <w:p w14:paraId="5AE08BDE" w14:textId="044529BD" w:rsidR="00451D2C" w:rsidRDefault="00451D2C" w:rsidP="00451D2C">
      <w:pPr>
        <w:ind w:left="720"/>
      </w:pPr>
      <w:r w:rsidRPr="00451D2C">
        <w:t xml:space="preserve">PTSD symptoms influence addiction relapse </w:t>
      </w:r>
      <w:proofErr w:type="gramStart"/>
      <w:r w:rsidRPr="00451D2C">
        <w:t>context?.</w:t>
      </w:r>
      <w:proofErr w:type="gramEnd"/>
      <w:r w:rsidRPr="00451D2C">
        <w:t xml:space="preserve"> </w:t>
      </w:r>
      <w:r w:rsidRPr="00451D2C">
        <w:rPr>
          <w:i/>
          <w:iCs/>
        </w:rPr>
        <w:t>Drug and alcohol dependence, 90</w:t>
      </w:r>
      <w:r w:rsidRPr="00451D2C">
        <w:t xml:space="preserve">(1), 89-96. </w:t>
      </w:r>
    </w:p>
    <w:p w14:paraId="6C5EE909" w14:textId="77777777" w:rsidR="00451D2C" w:rsidRPr="00451D2C" w:rsidRDefault="00451D2C" w:rsidP="00451D2C">
      <w:pPr>
        <w:ind w:left="720"/>
      </w:pPr>
    </w:p>
    <w:p w14:paraId="356E53DE" w14:textId="77777777" w:rsidR="00451D2C" w:rsidRPr="00451D2C" w:rsidRDefault="00451D2C" w:rsidP="00451D2C">
      <w:proofErr w:type="spellStart"/>
      <w:r w:rsidRPr="00451D2C">
        <w:t>Ouimette</w:t>
      </w:r>
      <w:proofErr w:type="spellEnd"/>
      <w:r w:rsidRPr="00451D2C">
        <w:t>, P. E., &amp; Brown, P. J. (2003). Trauma and substance abuse: Causes, consequences, and</w:t>
      </w:r>
    </w:p>
    <w:p w14:paraId="124D0EB7" w14:textId="64942EB5" w:rsidR="00451D2C" w:rsidRPr="00451D2C" w:rsidRDefault="00451D2C" w:rsidP="00451D2C">
      <w:pPr>
        <w:ind w:firstLine="720"/>
      </w:pPr>
      <w:r w:rsidRPr="00451D2C">
        <w:t xml:space="preserve">treatment of comorbid disorders. </w:t>
      </w:r>
      <w:r w:rsidRPr="00451D2C">
        <w:rPr>
          <w:i/>
          <w:iCs/>
        </w:rPr>
        <w:t>American Psychological Association</w:t>
      </w:r>
      <w:r w:rsidRPr="00451D2C">
        <w:t>.</w:t>
      </w:r>
    </w:p>
    <w:p w14:paraId="49DBE129" w14:textId="77777777" w:rsidR="00451D2C" w:rsidRPr="00451D2C" w:rsidRDefault="00451D2C" w:rsidP="00451D2C">
      <w:r w:rsidRPr="00451D2C">
        <w:t xml:space="preserve">Pager, D. (2003). The mark of a criminal record. </w:t>
      </w:r>
      <w:r w:rsidRPr="00451D2C">
        <w:rPr>
          <w:i/>
          <w:iCs/>
        </w:rPr>
        <w:t>American Journal of Sociology 108</w:t>
      </w:r>
      <w:r w:rsidRPr="00451D2C">
        <w:t>(5).</w:t>
      </w:r>
    </w:p>
    <w:p w14:paraId="78CABFB0" w14:textId="79FEDB35" w:rsidR="00451D2C" w:rsidRDefault="00053FB3" w:rsidP="00451D2C">
      <w:pPr>
        <w:ind w:firstLine="720"/>
        <w:rPr>
          <w:shd w:val="clear" w:color="auto" w:fill="FFFFFF"/>
        </w:rPr>
      </w:pPr>
      <w:hyperlink r:id="rId15" w:history="1">
        <w:r w:rsidR="00451D2C" w:rsidRPr="00087596">
          <w:rPr>
            <w:rStyle w:val="Hyperlink"/>
            <w:shd w:val="clear" w:color="auto" w:fill="FFFFFF"/>
          </w:rPr>
          <w:t>https://doi.org/10.1086/374403</w:t>
        </w:r>
      </w:hyperlink>
    </w:p>
    <w:p w14:paraId="0E5D6D92" w14:textId="77777777" w:rsidR="00451D2C" w:rsidRPr="00451D2C" w:rsidRDefault="00451D2C" w:rsidP="00451D2C">
      <w:pPr>
        <w:ind w:firstLine="720"/>
      </w:pPr>
    </w:p>
    <w:p w14:paraId="073377F2" w14:textId="10D648D5" w:rsidR="00451D2C" w:rsidRPr="00451D2C" w:rsidRDefault="00451D2C" w:rsidP="00451D2C">
      <w:r w:rsidRPr="00451D2C">
        <w:t xml:space="preserve">Raja, S., Hasnain, M., </w:t>
      </w:r>
      <w:proofErr w:type="spellStart"/>
      <w:r w:rsidRPr="00451D2C">
        <w:t>Hoersch</w:t>
      </w:r>
      <w:proofErr w:type="spellEnd"/>
      <w:r w:rsidRPr="00451D2C">
        <w:t>, M., Gove-Yin, S., &amp; Rajagopalan, C. (2015). T</w:t>
      </w:r>
      <w:r w:rsidR="004B704B">
        <w:t>rauma-informed</w:t>
      </w:r>
    </w:p>
    <w:p w14:paraId="14BAD4E1" w14:textId="236ED502" w:rsidR="00451D2C" w:rsidRDefault="00451D2C" w:rsidP="00451D2C">
      <w:pPr>
        <w:ind w:left="720"/>
        <w:rPr>
          <w:shd w:val="clear" w:color="auto" w:fill="FFFFFF"/>
        </w:rPr>
      </w:pPr>
      <w:r w:rsidRPr="00451D2C">
        <w:t xml:space="preserve">care in medicine. </w:t>
      </w:r>
      <w:r w:rsidRPr="00451D2C">
        <w:rPr>
          <w:i/>
          <w:iCs/>
        </w:rPr>
        <w:t>Family &amp; Community Health 38</w:t>
      </w:r>
      <w:r w:rsidRPr="00451D2C">
        <w:t xml:space="preserve">(3), 216-226. </w:t>
      </w:r>
      <w:hyperlink r:id="rId16" w:history="1">
        <w:r w:rsidRPr="00087596">
          <w:rPr>
            <w:rStyle w:val="Hyperlink"/>
            <w:shd w:val="clear" w:color="auto" w:fill="FFFFFF"/>
          </w:rPr>
          <w:t>https://doi.org/10.1097/FCH.0000000000000071</w:t>
        </w:r>
      </w:hyperlink>
    </w:p>
    <w:p w14:paraId="64CFC8A9" w14:textId="77777777" w:rsidR="00451D2C" w:rsidRPr="00451D2C" w:rsidRDefault="00451D2C" w:rsidP="00451D2C">
      <w:pPr>
        <w:ind w:left="720"/>
        <w:rPr>
          <w:shd w:val="clear" w:color="auto" w:fill="FFFFFF"/>
        </w:rPr>
      </w:pPr>
    </w:p>
    <w:p w14:paraId="23266080" w14:textId="77777777" w:rsidR="00451D2C" w:rsidRPr="00451D2C" w:rsidRDefault="00451D2C" w:rsidP="00451D2C">
      <w:r w:rsidRPr="00451D2C">
        <w:t xml:space="preserve">Spohn, C. &amp; </w:t>
      </w:r>
      <w:proofErr w:type="spellStart"/>
      <w:r w:rsidRPr="00451D2C">
        <w:t>Holleran</w:t>
      </w:r>
      <w:proofErr w:type="spellEnd"/>
      <w:r w:rsidRPr="00451D2C">
        <w:t>, D. (2006). The effect of imprisonment on recidivism rates of felony</w:t>
      </w:r>
    </w:p>
    <w:p w14:paraId="1975FDBC" w14:textId="3378C938" w:rsidR="00451D2C" w:rsidRDefault="00451D2C" w:rsidP="00451D2C">
      <w:pPr>
        <w:ind w:left="720"/>
        <w:rPr>
          <w:shd w:val="clear" w:color="auto" w:fill="FFFFFF"/>
        </w:rPr>
      </w:pPr>
      <w:r w:rsidRPr="00451D2C">
        <w:t xml:space="preserve">offenders: A focus on drug offenders. </w:t>
      </w:r>
      <w:r w:rsidRPr="00451D2C">
        <w:rPr>
          <w:i/>
          <w:iCs/>
        </w:rPr>
        <w:t>Criminology 40</w:t>
      </w:r>
      <w:r w:rsidRPr="00451D2C">
        <w:t xml:space="preserve">(2), 329-358. </w:t>
      </w:r>
      <w:hyperlink r:id="rId17" w:history="1">
        <w:r w:rsidRPr="00087596">
          <w:rPr>
            <w:rStyle w:val="Hyperlink"/>
          </w:rPr>
          <w:t>h</w:t>
        </w:r>
        <w:r w:rsidRPr="00087596">
          <w:rPr>
            <w:rStyle w:val="Hyperlink"/>
            <w:shd w:val="clear" w:color="auto" w:fill="FFFFFF"/>
          </w:rPr>
          <w:t>ttps://doi.org/10.1111/j.1745-9125.2002.tb00959.x</w:t>
        </w:r>
      </w:hyperlink>
    </w:p>
    <w:p w14:paraId="6FF69853" w14:textId="77777777" w:rsidR="00451D2C" w:rsidRPr="00451D2C" w:rsidRDefault="00451D2C" w:rsidP="00451D2C">
      <w:pPr>
        <w:ind w:left="720"/>
      </w:pPr>
    </w:p>
    <w:p w14:paraId="5D6F2949" w14:textId="600E03F6" w:rsidR="00451D2C" w:rsidRPr="00451D2C" w:rsidRDefault="00451D2C" w:rsidP="00451D2C">
      <w:pPr>
        <w:rPr>
          <w:i/>
          <w:iCs/>
        </w:rPr>
      </w:pPr>
      <w:r w:rsidRPr="00451D2C">
        <w:t xml:space="preserve">Substance Abuse and Mental Health Services Administration. (2021). </w:t>
      </w:r>
      <w:r w:rsidRPr="00451D2C">
        <w:rPr>
          <w:i/>
          <w:iCs/>
        </w:rPr>
        <w:t>Key substance use and</w:t>
      </w:r>
    </w:p>
    <w:p w14:paraId="5BD3B3FD" w14:textId="56695EAE" w:rsidR="00451D2C" w:rsidRPr="00451D2C" w:rsidRDefault="00451D2C" w:rsidP="00451D2C">
      <w:pPr>
        <w:ind w:left="720"/>
      </w:pPr>
      <w:r w:rsidRPr="00451D2C">
        <w:rPr>
          <w:i/>
          <w:iCs/>
        </w:rPr>
        <w:t>mental health indicators in the United States: Results from the 2020 National Survey on Drug Use and Health</w:t>
      </w:r>
      <w:r w:rsidRPr="00451D2C">
        <w:t>. https://www.samhsa.gov/data/sites/default/files/reports/rpt35325/</w:t>
      </w:r>
    </w:p>
    <w:p w14:paraId="262054E9" w14:textId="11764D14" w:rsidR="00451D2C" w:rsidRDefault="00451D2C" w:rsidP="00451D2C">
      <w:pPr>
        <w:ind w:left="720"/>
      </w:pPr>
      <w:r w:rsidRPr="00451D2C">
        <w:t>NSDUHFFRPDFWHTMLFiles2020/2020NSDUHFFR1PDFW102121.pdf</w:t>
      </w:r>
    </w:p>
    <w:p w14:paraId="0277B1AA" w14:textId="44E77F7B" w:rsidR="003B1D4A" w:rsidRDefault="003B1D4A" w:rsidP="00451D2C">
      <w:pPr>
        <w:ind w:left="720"/>
      </w:pPr>
    </w:p>
    <w:p w14:paraId="0012586C" w14:textId="5AD6DD55" w:rsidR="003B1D4A" w:rsidRDefault="003B1D4A" w:rsidP="00451D2C">
      <w:pPr>
        <w:ind w:left="720"/>
      </w:pPr>
    </w:p>
    <w:p w14:paraId="7FF5E543" w14:textId="17692B96" w:rsidR="003B1D4A" w:rsidRDefault="003B1D4A" w:rsidP="00451D2C">
      <w:pPr>
        <w:ind w:left="720"/>
      </w:pPr>
    </w:p>
    <w:p w14:paraId="38B9D0DD" w14:textId="4B8E910A" w:rsidR="003B1D4A" w:rsidRDefault="003B1D4A" w:rsidP="00451D2C">
      <w:pPr>
        <w:ind w:left="720"/>
      </w:pPr>
    </w:p>
    <w:p w14:paraId="375F15E8" w14:textId="55D846FD" w:rsidR="003B1D4A" w:rsidRDefault="003B1D4A" w:rsidP="00451D2C">
      <w:pPr>
        <w:ind w:left="720"/>
      </w:pPr>
    </w:p>
    <w:p w14:paraId="65282C5A" w14:textId="513A6DBC" w:rsidR="003B1D4A" w:rsidRDefault="003B1D4A" w:rsidP="00451D2C">
      <w:pPr>
        <w:ind w:left="720"/>
      </w:pPr>
    </w:p>
    <w:p w14:paraId="4990947F" w14:textId="4A9DA5C0" w:rsidR="003B1D4A" w:rsidRDefault="003B1D4A" w:rsidP="00451D2C">
      <w:pPr>
        <w:ind w:left="720"/>
      </w:pPr>
    </w:p>
    <w:p w14:paraId="1CEC99E2" w14:textId="3BD8327E" w:rsidR="003B1D4A" w:rsidRDefault="003B1D4A" w:rsidP="00451D2C">
      <w:pPr>
        <w:ind w:left="720"/>
      </w:pPr>
    </w:p>
    <w:p w14:paraId="7015D8DF" w14:textId="112DDFB2" w:rsidR="003B1D4A" w:rsidRDefault="003B1D4A" w:rsidP="00451D2C">
      <w:pPr>
        <w:ind w:left="720"/>
      </w:pPr>
    </w:p>
    <w:p w14:paraId="27EB6CBB" w14:textId="0DB71D33" w:rsidR="003B1D4A" w:rsidRDefault="003B1D4A" w:rsidP="00451D2C">
      <w:pPr>
        <w:ind w:left="720"/>
      </w:pPr>
    </w:p>
    <w:p w14:paraId="44E7EA25" w14:textId="100E6543" w:rsidR="003B1D4A" w:rsidRDefault="003B1D4A" w:rsidP="00451D2C">
      <w:pPr>
        <w:ind w:left="720"/>
      </w:pPr>
    </w:p>
    <w:p w14:paraId="134F6A53" w14:textId="68AEA15B" w:rsidR="003B1D4A" w:rsidRDefault="003B1D4A" w:rsidP="00451D2C">
      <w:pPr>
        <w:ind w:left="720"/>
      </w:pPr>
    </w:p>
    <w:p w14:paraId="0E710A89" w14:textId="21ADE185" w:rsidR="003B1D4A" w:rsidRDefault="003B1D4A" w:rsidP="00451D2C">
      <w:pPr>
        <w:ind w:left="720"/>
      </w:pPr>
    </w:p>
    <w:p w14:paraId="26B16430" w14:textId="7E5D5A1A" w:rsidR="003B1D4A" w:rsidRDefault="003B1D4A" w:rsidP="00451D2C">
      <w:pPr>
        <w:ind w:left="720"/>
      </w:pPr>
    </w:p>
    <w:p w14:paraId="5E56A163" w14:textId="3C7A3C3D" w:rsidR="003B1D4A" w:rsidRDefault="003B1D4A" w:rsidP="00451D2C">
      <w:pPr>
        <w:ind w:left="720"/>
      </w:pPr>
    </w:p>
    <w:p w14:paraId="3865D1DE" w14:textId="35310618" w:rsidR="003B1D4A" w:rsidRDefault="003B1D4A" w:rsidP="00451D2C">
      <w:pPr>
        <w:ind w:left="720"/>
      </w:pPr>
    </w:p>
    <w:p w14:paraId="34C39565" w14:textId="4E4712E4" w:rsidR="003B1D4A" w:rsidRDefault="003B1D4A" w:rsidP="00451D2C">
      <w:pPr>
        <w:ind w:left="720"/>
      </w:pPr>
    </w:p>
    <w:p w14:paraId="17AC8E72" w14:textId="51E1682E" w:rsidR="003B1D4A" w:rsidRDefault="003B1D4A" w:rsidP="00451D2C">
      <w:pPr>
        <w:ind w:left="720"/>
      </w:pPr>
    </w:p>
    <w:p w14:paraId="4F669277" w14:textId="2D0DAC55" w:rsidR="003B1D4A" w:rsidRDefault="003B1D4A" w:rsidP="00451D2C">
      <w:pPr>
        <w:ind w:left="720"/>
      </w:pPr>
    </w:p>
    <w:p w14:paraId="00990F33" w14:textId="0AE8D499" w:rsidR="003B1D4A" w:rsidRDefault="003B1D4A" w:rsidP="00451D2C">
      <w:pPr>
        <w:ind w:left="720"/>
      </w:pPr>
    </w:p>
    <w:p w14:paraId="2130A67C" w14:textId="626FAB2A" w:rsidR="003B1D4A" w:rsidRDefault="003B1D4A" w:rsidP="00451D2C">
      <w:pPr>
        <w:ind w:left="720"/>
      </w:pPr>
    </w:p>
    <w:p w14:paraId="710650B8" w14:textId="1A539EED" w:rsidR="003B1D4A" w:rsidRDefault="003B1D4A" w:rsidP="00451D2C">
      <w:pPr>
        <w:ind w:left="720"/>
      </w:pPr>
    </w:p>
    <w:p w14:paraId="1504BC26" w14:textId="71B2AD4E" w:rsidR="003B1D4A" w:rsidRDefault="003B1D4A" w:rsidP="00451D2C">
      <w:pPr>
        <w:ind w:left="720"/>
      </w:pPr>
    </w:p>
    <w:p w14:paraId="6EAF8FAE" w14:textId="6027FA46" w:rsidR="003B1D4A" w:rsidRDefault="003B1D4A" w:rsidP="00451D2C">
      <w:pPr>
        <w:ind w:left="720"/>
      </w:pPr>
    </w:p>
    <w:p w14:paraId="78B93734" w14:textId="7487B5AE" w:rsidR="003B1D4A" w:rsidRDefault="003B1D4A" w:rsidP="00451D2C">
      <w:pPr>
        <w:ind w:left="720"/>
      </w:pPr>
    </w:p>
    <w:p w14:paraId="1551D4B7" w14:textId="7F5A37BC" w:rsidR="003B1D4A" w:rsidRDefault="003B1D4A" w:rsidP="00451D2C">
      <w:pPr>
        <w:ind w:left="720"/>
      </w:pPr>
    </w:p>
    <w:p w14:paraId="43191D89" w14:textId="358EDC86" w:rsidR="003B1D4A" w:rsidRDefault="003B1D4A" w:rsidP="00451D2C">
      <w:pPr>
        <w:ind w:left="720"/>
      </w:pPr>
    </w:p>
    <w:p w14:paraId="44AECCA8" w14:textId="00EE29EB" w:rsidR="003B1D4A" w:rsidRDefault="003B1D4A" w:rsidP="00451D2C">
      <w:pPr>
        <w:ind w:left="720"/>
      </w:pPr>
    </w:p>
    <w:p w14:paraId="4BCACA87" w14:textId="3DC872B0" w:rsidR="003B1D4A" w:rsidRDefault="003B1D4A" w:rsidP="00451D2C">
      <w:pPr>
        <w:ind w:left="720"/>
      </w:pPr>
    </w:p>
    <w:p w14:paraId="4DE4A07B" w14:textId="56ED60A7" w:rsidR="003B1D4A" w:rsidRDefault="003B1D4A" w:rsidP="00451D2C">
      <w:pPr>
        <w:ind w:left="720"/>
      </w:pPr>
    </w:p>
    <w:p w14:paraId="6BA1DBEE" w14:textId="3B7F1D91" w:rsidR="003B1D4A" w:rsidRDefault="003B1D4A" w:rsidP="00451D2C">
      <w:pPr>
        <w:ind w:left="720"/>
      </w:pPr>
    </w:p>
    <w:p w14:paraId="169E10EE" w14:textId="48FC385A" w:rsidR="003B1D4A" w:rsidRDefault="003B1D4A" w:rsidP="00451D2C">
      <w:pPr>
        <w:ind w:left="720"/>
      </w:pPr>
    </w:p>
    <w:p w14:paraId="0F0AAFE3" w14:textId="280A4D1E" w:rsidR="003B1D4A" w:rsidRDefault="003B1D4A" w:rsidP="00451D2C">
      <w:pPr>
        <w:ind w:left="720"/>
      </w:pPr>
    </w:p>
    <w:p w14:paraId="2E3D2D79" w14:textId="7C064FEC" w:rsidR="003B1D4A" w:rsidRDefault="003B1D4A" w:rsidP="00451D2C">
      <w:pPr>
        <w:ind w:left="720"/>
      </w:pPr>
    </w:p>
    <w:p w14:paraId="19351031" w14:textId="23BADA3B" w:rsidR="003B1D4A" w:rsidRDefault="003B1D4A" w:rsidP="00451D2C">
      <w:pPr>
        <w:ind w:left="720"/>
      </w:pPr>
    </w:p>
    <w:p w14:paraId="5252C646" w14:textId="4C8D5826" w:rsidR="003B1D4A" w:rsidRDefault="003B1D4A" w:rsidP="00451D2C">
      <w:pPr>
        <w:ind w:left="720"/>
      </w:pPr>
    </w:p>
    <w:p w14:paraId="657B9925" w14:textId="51AF1D7F" w:rsidR="003B1D4A" w:rsidRDefault="003B1D4A" w:rsidP="00451D2C">
      <w:pPr>
        <w:ind w:left="720"/>
      </w:pPr>
    </w:p>
    <w:p w14:paraId="53F558D9" w14:textId="77777777" w:rsidR="003B1D4A" w:rsidRPr="003B1D4A" w:rsidRDefault="003B1D4A" w:rsidP="003B1D4A">
      <w:pPr>
        <w:spacing w:line="360" w:lineRule="auto"/>
        <w:ind w:left="720"/>
        <w:rPr>
          <w:b/>
          <w:bCs/>
          <w:u w:val="single"/>
        </w:rPr>
      </w:pPr>
      <w:r w:rsidRPr="003B1D4A">
        <w:rPr>
          <w:b/>
          <w:bCs/>
          <w:u w:val="single"/>
        </w:rPr>
        <w:lastRenderedPageBreak/>
        <w:t xml:space="preserve">Delaware Drug Overdose Fatality Review Commission Contact </w:t>
      </w:r>
    </w:p>
    <w:p w14:paraId="6D3E09FF" w14:textId="77777777" w:rsidR="003B1D4A" w:rsidRDefault="003B1D4A" w:rsidP="003B1D4A">
      <w:pPr>
        <w:spacing w:line="360" w:lineRule="auto"/>
        <w:ind w:left="720"/>
      </w:pPr>
      <w:r w:rsidRPr="003B1D4A">
        <w:t xml:space="preserve">Julia Lawes, Executive Director </w:t>
      </w:r>
    </w:p>
    <w:p w14:paraId="5F84C018" w14:textId="35AB095F" w:rsidR="003B1D4A" w:rsidRDefault="003B1D4A" w:rsidP="003B1D4A">
      <w:pPr>
        <w:spacing w:line="360" w:lineRule="auto"/>
        <w:ind w:left="720"/>
      </w:pPr>
      <w:hyperlink r:id="rId18" w:history="1">
        <w:r w:rsidRPr="00D6496B">
          <w:rPr>
            <w:rStyle w:val="Hyperlink"/>
          </w:rPr>
          <w:t>Julia.Lawes@delaware.gov</w:t>
        </w:r>
      </w:hyperlink>
      <w:r w:rsidRPr="003B1D4A">
        <w:t xml:space="preserve"> </w:t>
      </w:r>
    </w:p>
    <w:p w14:paraId="15250B69" w14:textId="77777777" w:rsidR="003B1D4A" w:rsidRDefault="003B1D4A" w:rsidP="003B1D4A">
      <w:pPr>
        <w:spacing w:line="360" w:lineRule="auto"/>
        <w:ind w:left="720"/>
      </w:pPr>
      <w:r w:rsidRPr="003B1D4A">
        <w:t xml:space="preserve">302-577-8901 </w:t>
      </w:r>
    </w:p>
    <w:p w14:paraId="56808BEA" w14:textId="77777777" w:rsidR="003B1D4A" w:rsidRDefault="003B1D4A" w:rsidP="003B1D4A">
      <w:pPr>
        <w:spacing w:line="360" w:lineRule="auto"/>
        <w:ind w:left="720"/>
      </w:pPr>
    </w:p>
    <w:p w14:paraId="1F6D350A" w14:textId="77777777" w:rsidR="003B1D4A" w:rsidRPr="003B1D4A" w:rsidRDefault="003B1D4A" w:rsidP="003B1D4A">
      <w:pPr>
        <w:spacing w:line="360" w:lineRule="auto"/>
        <w:ind w:left="720"/>
        <w:rPr>
          <w:b/>
          <w:bCs/>
          <w:u w:val="single"/>
        </w:rPr>
      </w:pPr>
      <w:r w:rsidRPr="003B1D4A">
        <w:rPr>
          <w:b/>
          <w:bCs/>
          <w:u w:val="single"/>
        </w:rPr>
        <w:t xml:space="preserve">Delaware Drug Overdose Fatality Review Commission Members </w:t>
      </w:r>
    </w:p>
    <w:p w14:paraId="66377EFA" w14:textId="77777777" w:rsidR="003B1D4A" w:rsidRDefault="003B1D4A" w:rsidP="003B1D4A">
      <w:pPr>
        <w:spacing w:line="360" w:lineRule="auto"/>
        <w:ind w:left="720"/>
      </w:pPr>
      <w:r w:rsidRPr="003B1D4A">
        <w:t xml:space="preserve">• Erin Booker, CCHS, Chair, New Castle County Regional Review Team Chair </w:t>
      </w:r>
    </w:p>
    <w:p w14:paraId="30246039" w14:textId="3552B807" w:rsidR="003B1D4A" w:rsidRDefault="003B1D4A" w:rsidP="003B1D4A">
      <w:pPr>
        <w:spacing w:line="360" w:lineRule="auto"/>
        <w:ind w:left="720"/>
      </w:pPr>
      <w:r w:rsidRPr="003B1D4A">
        <w:t xml:space="preserve">• </w:t>
      </w:r>
      <w:r w:rsidR="00053FB3">
        <w:t>Rebecca Walker, Director of Nursing, DPH</w:t>
      </w:r>
    </w:p>
    <w:p w14:paraId="7AA58B24" w14:textId="77777777" w:rsidR="003B1D4A" w:rsidRDefault="003B1D4A" w:rsidP="003B1D4A">
      <w:pPr>
        <w:spacing w:line="360" w:lineRule="auto"/>
        <w:ind w:left="720"/>
      </w:pPr>
      <w:r w:rsidRPr="003B1D4A">
        <w:t xml:space="preserve">• Kathleen Jennings, Delaware Attorney General </w:t>
      </w:r>
    </w:p>
    <w:p w14:paraId="64A26CCC" w14:textId="77777777" w:rsidR="003B1D4A" w:rsidRDefault="003B1D4A" w:rsidP="003B1D4A">
      <w:pPr>
        <w:spacing w:line="360" w:lineRule="auto"/>
        <w:ind w:left="720"/>
      </w:pPr>
      <w:r w:rsidRPr="003B1D4A">
        <w:t xml:space="preserve">• Rebecca King, Delaware Nurses Association Representative </w:t>
      </w:r>
    </w:p>
    <w:p w14:paraId="7082DFC3" w14:textId="77777777" w:rsidR="003B1D4A" w:rsidRDefault="003B1D4A" w:rsidP="003B1D4A">
      <w:pPr>
        <w:spacing w:line="360" w:lineRule="auto"/>
        <w:ind w:left="720"/>
      </w:pPr>
      <w:r w:rsidRPr="003B1D4A">
        <w:t xml:space="preserve">• Chief Ken McLaughlin, Ocean View PD, Police Chiefs of Delaware Representative </w:t>
      </w:r>
    </w:p>
    <w:p w14:paraId="110648CA" w14:textId="77777777" w:rsidR="003B1D4A" w:rsidRDefault="003B1D4A" w:rsidP="003B1D4A">
      <w:pPr>
        <w:spacing w:line="360" w:lineRule="auto"/>
        <w:ind w:left="720"/>
      </w:pPr>
      <w:r w:rsidRPr="003B1D4A">
        <w:t xml:space="preserve">• Lt. Sakinah Slayton, New Castle County PD, Fraternal Order of Police Representative </w:t>
      </w:r>
    </w:p>
    <w:p w14:paraId="12A515A0" w14:textId="77777777" w:rsidR="003B1D4A" w:rsidRDefault="003B1D4A" w:rsidP="003B1D4A">
      <w:pPr>
        <w:spacing w:line="360" w:lineRule="auto"/>
        <w:ind w:left="720"/>
      </w:pPr>
      <w:r w:rsidRPr="003B1D4A">
        <w:t xml:space="preserve">• Dave Humes, </w:t>
      </w:r>
      <w:proofErr w:type="spellStart"/>
      <w:r w:rsidRPr="003B1D4A">
        <w:t>aTtAcK</w:t>
      </w:r>
      <w:proofErr w:type="spellEnd"/>
      <w:r w:rsidRPr="003B1D4A">
        <w:t xml:space="preserve"> addiction, Delaware Non-Profit Representative </w:t>
      </w:r>
    </w:p>
    <w:p w14:paraId="18239D0B" w14:textId="416AC786" w:rsidR="003B1D4A" w:rsidRDefault="003B1D4A" w:rsidP="003B1D4A">
      <w:pPr>
        <w:spacing w:line="360" w:lineRule="auto"/>
        <w:ind w:left="720"/>
      </w:pPr>
      <w:r w:rsidRPr="003B1D4A">
        <w:t xml:space="preserve">• Lt. David Hake, DSP, DIAC, Safety and Homeland Security Representative </w:t>
      </w:r>
    </w:p>
    <w:p w14:paraId="4643F19B" w14:textId="50F9CDB9" w:rsidR="003B1D4A" w:rsidRDefault="003B1D4A" w:rsidP="00053FB3">
      <w:pPr>
        <w:spacing w:line="360" w:lineRule="auto"/>
        <w:ind w:left="720"/>
      </w:pPr>
      <w:r w:rsidRPr="003B1D4A">
        <w:t xml:space="preserve">• Dr. Awele Maduka-Ezeh, Delaware Department of Corrections </w:t>
      </w:r>
    </w:p>
    <w:p w14:paraId="736597C1" w14:textId="77777777" w:rsidR="003B1D4A" w:rsidRDefault="003B1D4A" w:rsidP="003B1D4A">
      <w:pPr>
        <w:spacing w:line="360" w:lineRule="auto"/>
        <w:ind w:left="720"/>
      </w:pPr>
      <w:r w:rsidRPr="003B1D4A">
        <w:t xml:space="preserve">• Dr. </w:t>
      </w:r>
      <w:proofErr w:type="spellStart"/>
      <w:r w:rsidRPr="003B1D4A">
        <w:t>Manonmani</w:t>
      </w:r>
      <w:proofErr w:type="spellEnd"/>
      <w:r w:rsidRPr="003B1D4A">
        <w:t xml:space="preserve"> Antony, Medical Society Representative </w:t>
      </w:r>
    </w:p>
    <w:p w14:paraId="72B7ACEB" w14:textId="77777777" w:rsidR="003B1D4A" w:rsidRDefault="003B1D4A" w:rsidP="00451D2C">
      <w:pPr>
        <w:ind w:left="720"/>
      </w:pPr>
    </w:p>
    <w:p w14:paraId="46760DBF" w14:textId="77777777" w:rsidR="00053FB3" w:rsidRDefault="00053FB3" w:rsidP="00053FB3">
      <w:pPr>
        <w:rPr>
          <w:b/>
          <w:bCs/>
        </w:rPr>
      </w:pPr>
    </w:p>
    <w:p w14:paraId="460B710B" w14:textId="68775EA0" w:rsidR="003B1D4A" w:rsidRPr="003B1D4A" w:rsidRDefault="003B1D4A" w:rsidP="00053FB3">
      <w:pPr>
        <w:rPr>
          <w:b/>
          <w:bCs/>
        </w:rPr>
      </w:pPr>
      <w:r w:rsidRPr="003B1D4A">
        <w:rPr>
          <w:b/>
          <w:bCs/>
        </w:rPr>
        <w:t>Report compiled by D</w:t>
      </w:r>
      <w:r w:rsidR="00053FB3">
        <w:rPr>
          <w:b/>
          <w:bCs/>
        </w:rPr>
        <w:t xml:space="preserve">elaware </w:t>
      </w:r>
      <w:r w:rsidRPr="003B1D4A">
        <w:rPr>
          <w:b/>
          <w:bCs/>
        </w:rPr>
        <w:t>OFR staff Julia Lawes, Joshua Stout, and Mary McGee</w:t>
      </w:r>
    </w:p>
    <w:sectPr w:rsidR="003B1D4A" w:rsidRPr="003B1D4A" w:rsidSect="003B1D4A"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16148" w14:textId="77777777" w:rsidR="00761889" w:rsidRDefault="00761889" w:rsidP="00BA2E7E">
      <w:r>
        <w:separator/>
      </w:r>
    </w:p>
  </w:endnote>
  <w:endnote w:type="continuationSeparator" w:id="0">
    <w:p w14:paraId="383F7AEF" w14:textId="77777777" w:rsidR="00761889" w:rsidRDefault="00761889" w:rsidP="00BA2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57785" w14:textId="77777777" w:rsidR="00761889" w:rsidRDefault="00761889" w:rsidP="00BA2E7E">
      <w:r>
        <w:separator/>
      </w:r>
    </w:p>
  </w:footnote>
  <w:footnote w:type="continuationSeparator" w:id="0">
    <w:p w14:paraId="5307593C" w14:textId="77777777" w:rsidR="00761889" w:rsidRDefault="00761889" w:rsidP="00BA2E7E">
      <w:r>
        <w:continuationSeparator/>
      </w:r>
    </w:p>
  </w:footnote>
  <w:footnote w:id="1">
    <w:p w14:paraId="50DC8201" w14:textId="07B4E009" w:rsidR="00BA2E7E" w:rsidRPr="00BA2E7E" w:rsidRDefault="00BA2E7E">
      <w:pPr>
        <w:pStyle w:val="FootnoteText"/>
      </w:pPr>
      <w:r>
        <w:rPr>
          <w:rStyle w:val="FootnoteReference"/>
        </w:rPr>
        <w:footnoteRef/>
      </w:r>
      <w:r>
        <w:t xml:space="preserve"> Location of death was not determined </w:t>
      </w:r>
      <w:r w:rsidR="005A4717">
        <w:t xml:space="preserve">in </w:t>
      </w:r>
      <w:r>
        <w:t>5.84% of cases.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40FAA"/>
    <w:multiLevelType w:val="multilevel"/>
    <w:tmpl w:val="22EAC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DD2778"/>
    <w:multiLevelType w:val="hybridMultilevel"/>
    <w:tmpl w:val="951E2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004EF"/>
    <w:multiLevelType w:val="hybridMultilevel"/>
    <w:tmpl w:val="E8B61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826DB"/>
    <w:multiLevelType w:val="hybridMultilevel"/>
    <w:tmpl w:val="EE049AFC"/>
    <w:lvl w:ilvl="0" w:tplc="497CA5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DC79F2"/>
    <w:multiLevelType w:val="hybridMultilevel"/>
    <w:tmpl w:val="34C85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3D637F"/>
    <w:multiLevelType w:val="hybridMultilevel"/>
    <w:tmpl w:val="185C0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2316188">
    <w:abstractNumId w:val="3"/>
  </w:num>
  <w:num w:numId="2" w16cid:durableId="356084336">
    <w:abstractNumId w:val="2"/>
  </w:num>
  <w:num w:numId="3" w16cid:durableId="299769933">
    <w:abstractNumId w:val="1"/>
  </w:num>
  <w:num w:numId="4" w16cid:durableId="1928537572">
    <w:abstractNumId w:val="0"/>
  </w:num>
  <w:num w:numId="5" w16cid:durableId="853805022">
    <w:abstractNumId w:val="4"/>
  </w:num>
  <w:num w:numId="6" w16cid:durableId="5334708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59A"/>
    <w:rsid w:val="00053FB3"/>
    <w:rsid w:val="0007529A"/>
    <w:rsid w:val="000B3BFD"/>
    <w:rsid w:val="001166D1"/>
    <w:rsid w:val="00136F09"/>
    <w:rsid w:val="00167761"/>
    <w:rsid w:val="00194538"/>
    <w:rsid w:val="001B4A4F"/>
    <w:rsid w:val="001E41F2"/>
    <w:rsid w:val="00224817"/>
    <w:rsid w:val="00246E80"/>
    <w:rsid w:val="002D712C"/>
    <w:rsid w:val="002E752E"/>
    <w:rsid w:val="0031683E"/>
    <w:rsid w:val="00390669"/>
    <w:rsid w:val="00390D2F"/>
    <w:rsid w:val="003B1D4A"/>
    <w:rsid w:val="00451D2C"/>
    <w:rsid w:val="0045350D"/>
    <w:rsid w:val="004B704B"/>
    <w:rsid w:val="00511F74"/>
    <w:rsid w:val="005A4717"/>
    <w:rsid w:val="005B54F3"/>
    <w:rsid w:val="005D6C02"/>
    <w:rsid w:val="005F1343"/>
    <w:rsid w:val="00650CEB"/>
    <w:rsid w:val="00711D30"/>
    <w:rsid w:val="00752512"/>
    <w:rsid w:val="00754379"/>
    <w:rsid w:val="0075777D"/>
    <w:rsid w:val="00761889"/>
    <w:rsid w:val="007748F7"/>
    <w:rsid w:val="007A3668"/>
    <w:rsid w:val="00830C7F"/>
    <w:rsid w:val="008641B4"/>
    <w:rsid w:val="00881C5C"/>
    <w:rsid w:val="008D5D1A"/>
    <w:rsid w:val="008F1C39"/>
    <w:rsid w:val="00944A9A"/>
    <w:rsid w:val="009C6797"/>
    <w:rsid w:val="00A07020"/>
    <w:rsid w:val="00A345AF"/>
    <w:rsid w:val="00A545FE"/>
    <w:rsid w:val="00AA5578"/>
    <w:rsid w:val="00AC4783"/>
    <w:rsid w:val="00B60F79"/>
    <w:rsid w:val="00B73988"/>
    <w:rsid w:val="00B7659A"/>
    <w:rsid w:val="00BA2E7E"/>
    <w:rsid w:val="00BF3760"/>
    <w:rsid w:val="00C45C45"/>
    <w:rsid w:val="00C649BE"/>
    <w:rsid w:val="00C679B2"/>
    <w:rsid w:val="00CE021F"/>
    <w:rsid w:val="00D35C84"/>
    <w:rsid w:val="00D601EF"/>
    <w:rsid w:val="00D721A1"/>
    <w:rsid w:val="00D77382"/>
    <w:rsid w:val="00DC7023"/>
    <w:rsid w:val="00DE2142"/>
    <w:rsid w:val="00DF34B3"/>
    <w:rsid w:val="00E207FE"/>
    <w:rsid w:val="00E71671"/>
    <w:rsid w:val="00EA6988"/>
    <w:rsid w:val="00EF787F"/>
    <w:rsid w:val="00F4186E"/>
    <w:rsid w:val="00FA1ACC"/>
    <w:rsid w:val="00FC2B65"/>
    <w:rsid w:val="00FC5E96"/>
    <w:rsid w:val="00FC614A"/>
    <w:rsid w:val="00FE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6EE8B"/>
  <w15:chartTrackingRefBased/>
  <w15:docId w15:val="{BFE29B8A-6FA7-044C-A96E-51585D791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D2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A2E7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2E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A2E7E"/>
    <w:rPr>
      <w:vertAlign w:val="superscript"/>
    </w:rPr>
  </w:style>
  <w:style w:type="table" w:styleId="TableGrid">
    <w:name w:val="Table Grid"/>
    <w:basedOn w:val="TableNormal"/>
    <w:uiPriority w:val="39"/>
    <w:rsid w:val="00136F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79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1D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1D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51D2C"/>
    <w:rPr>
      <w:color w:val="954F72" w:themeColor="followedHyperlink"/>
      <w:u w:val="single"/>
    </w:rPr>
  </w:style>
  <w:style w:type="paragraph" w:customStyle="1" w:styleId="dx-doi">
    <w:name w:val="dx-doi"/>
    <w:basedOn w:val="Normal"/>
    <w:rsid w:val="00451D2C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EF787F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F78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78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787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78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787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3B1D4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1D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3B1D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D4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B1D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D4A"/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D4A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B1D4A"/>
    <w:rPr>
      <w:rFonts w:eastAsiaTheme="minorEastAsia" w:cs="Times New Roman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1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s://doi.org/10.1080/10509674.2018.1549182" TargetMode="External"/><Relationship Id="rId18" Type="http://schemas.openxmlformats.org/officeDocument/2006/relationships/hyperlink" Target="mailto:Julia.Lawes@delaware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1377/hlthaff.2017.0584" TargetMode="External"/><Relationship Id="rId17" Type="http://schemas.openxmlformats.org/officeDocument/2006/relationships/hyperlink" Target="https://doi.org/10.1111/j.1745-9125.2002.tb00959.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1097/FCH.0000000000000071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177/088740340001100400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86/374403" TargetMode="External"/><Relationship Id="rId10" Type="http://schemas.openxmlformats.org/officeDocument/2006/relationships/chart" Target="charts/chart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s://www.cmhnetwork.org/news/trauma-is-the-gateway-drug-an-aces-informed-approach-to-substance-abuse-treatment/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2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Book2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Users\joshua\Library\Containers\com.microsoft.Excel\Data\Library\Application%20Support\Microsoft\Book2%20(version%201).xlsb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Day of the Week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Sheet1!$A$5:$A$11</c:f>
              <c:strCache>
                <c:ptCount val="7"/>
                <c:pt idx="0">
                  <c:v>Sunday</c:v>
                </c:pt>
                <c:pt idx="1">
                  <c:v>Monday</c:v>
                </c:pt>
                <c:pt idx="2">
                  <c:v>Tuesday</c:v>
                </c:pt>
                <c:pt idx="3">
                  <c:v>Wednesday</c:v>
                </c:pt>
                <c:pt idx="4">
                  <c:v>Thursday</c:v>
                </c:pt>
                <c:pt idx="5">
                  <c:v>Friday</c:v>
                </c:pt>
                <c:pt idx="6">
                  <c:v>Saturday</c:v>
                </c:pt>
              </c:strCache>
            </c:strRef>
          </c:cat>
          <c:val>
            <c:numRef>
              <c:f>Sheet1!$B$5:$B$11</c:f>
              <c:numCache>
                <c:formatCode>0.00%</c:formatCode>
                <c:ptCount val="7"/>
                <c:pt idx="0">
                  <c:v>0.17599999999999999</c:v>
                </c:pt>
                <c:pt idx="1">
                  <c:v>0.10199999999999999</c:v>
                </c:pt>
                <c:pt idx="2">
                  <c:v>0.14799999999999999</c:v>
                </c:pt>
                <c:pt idx="3">
                  <c:v>0.17599999999999999</c:v>
                </c:pt>
                <c:pt idx="4">
                  <c:v>0.13900000000000001</c:v>
                </c:pt>
                <c:pt idx="5">
                  <c:v>9.2999999999999999E-2</c:v>
                </c:pt>
                <c:pt idx="6">
                  <c:v>0.16700000000000001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1A5-8344-8832-892669D622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03586175"/>
        <c:axId val="817119727"/>
      </c:barChart>
      <c:catAx>
        <c:axId val="9035861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17119727"/>
        <c:crosses val="autoZero"/>
        <c:auto val="1"/>
        <c:lblAlgn val="ctr"/>
        <c:lblOffset val="100"/>
        <c:noMultiLvlLbl val="0"/>
      </c:catAx>
      <c:valAx>
        <c:axId val="81711972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0358617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Location of Death</a:t>
            </a:r>
          </a:p>
          <a:p>
            <a:pPr>
              <a:defRPr/>
            </a:pP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Sheet1!$A$1:$A$11</c:f>
              <c:strCache>
                <c:ptCount val="11"/>
                <c:pt idx="0">
                  <c:v>Oxford House</c:v>
                </c:pt>
                <c:pt idx="1">
                  <c:v>Abandonded Residence/Dwelling</c:v>
                </c:pt>
                <c:pt idx="2">
                  <c:v>Halfway House</c:v>
                </c:pt>
                <c:pt idx="3">
                  <c:v>Hospital</c:v>
                </c:pt>
                <c:pt idx="4">
                  <c:v>Outside (Public &amp; Private Property)</c:v>
                </c:pt>
                <c:pt idx="5">
                  <c:v>Motel/Hotel</c:v>
                </c:pt>
                <c:pt idx="6">
                  <c:v>Residence of Another</c:v>
                </c:pt>
                <c:pt idx="7">
                  <c:v>Vehicle</c:v>
                </c:pt>
                <c:pt idx="8">
                  <c:v>Other</c:v>
                </c:pt>
                <c:pt idx="9">
                  <c:v>Family Residence/Property</c:v>
                </c:pt>
                <c:pt idx="10">
                  <c:v>Own Residence</c:v>
                </c:pt>
              </c:strCache>
            </c:strRef>
          </c:cat>
          <c:val>
            <c:numRef>
              <c:f>Sheet1!$B$1:$B$11</c:f>
              <c:numCache>
                <c:formatCode>0.00%</c:formatCode>
                <c:ptCount val="11"/>
                <c:pt idx="0">
                  <c:v>8.9999999999999993E-3</c:v>
                </c:pt>
                <c:pt idx="1">
                  <c:v>1.8000000000000002E-2</c:v>
                </c:pt>
                <c:pt idx="2">
                  <c:v>2.8000000000000001E-2</c:v>
                </c:pt>
                <c:pt idx="3">
                  <c:v>2.8000000000000001E-2</c:v>
                </c:pt>
                <c:pt idx="4">
                  <c:v>4.7E-2</c:v>
                </c:pt>
                <c:pt idx="5">
                  <c:v>5.6999999999999995E-2</c:v>
                </c:pt>
                <c:pt idx="6">
                  <c:v>8.4999999999999992E-2</c:v>
                </c:pt>
                <c:pt idx="7">
                  <c:v>8.5000000000000006E-2</c:v>
                </c:pt>
                <c:pt idx="8">
                  <c:v>8.5000000000000006E-2</c:v>
                </c:pt>
                <c:pt idx="9">
                  <c:v>0.16</c:v>
                </c:pt>
                <c:pt idx="10">
                  <c:v>0.39600000000000002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E7C-6342-96F1-ADB3F4F4FD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722039008"/>
        <c:axId val="722467184"/>
      </c:barChart>
      <c:catAx>
        <c:axId val="7220390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22467184"/>
        <c:crosses val="autoZero"/>
        <c:auto val="1"/>
        <c:lblAlgn val="ctr"/>
        <c:lblOffset val="100"/>
        <c:noMultiLvlLbl val="0"/>
      </c:catAx>
      <c:valAx>
        <c:axId val="72246718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220390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800" b="0" i="0" baseline="0">
                <a:effectLst/>
              </a:rPr>
              <a:t>Relationship of Individual who Discovered Decedent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Sheet1!$A$13:$A$23</c:f>
              <c:strCache>
                <c:ptCount val="11"/>
                <c:pt idx="0">
                  <c:v>Social Service Staff</c:v>
                </c:pt>
                <c:pt idx="1">
                  <c:v>Child (Under 18)</c:v>
                </c:pt>
                <c:pt idx="2">
                  <c:v>Staff Member</c:v>
                </c:pt>
                <c:pt idx="3">
                  <c:v>Law Enforcement</c:v>
                </c:pt>
                <c:pt idx="4">
                  <c:v>Child (Over 18)</c:v>
                </c:pt>
                <c:pt idx="5">
                  <c:v>Bystander</c:v>
                </c:pt>
                <c:pt idx="6">
                  <c:v>Roommate</c:v>
                </c:pt>
                <c:pt idx="7">
                  <c:v>Other*</c:v>
                </c:pt>
                <c:pt idx="8">
                  <c:v>Friend</c:v>
                </c:pt>
                <c:pt idx="9">
                  <c:v>Family </c:v>
                </c:pt>
                <c:pt idx="10">
                  <c:v>Significant Other</c:v>
                </c:pt>
              </c:strCache>
            </c:strRef>
          </c:cat>
          <c:val>
            <c:numRef>
              <c:f>Sheet1!$B$13:$B$23</c:f>
              <c:numCache>
                <c:formatCode>0.00%</c:formatCode>
                <c:ptCount val="11"/>
                <c:pt idx="0">
                  <c:v>8.9999999999999993E-3</c:v>
                </c:pt>
                <c:pt idx="1">
                  <c:v>1.9E-2</c:v>
                </c:pt>
                <c:pt idx="2">
                  <c:v>1.9E-2</c:v>
                </c:pt>
                <c:pt idx="3">
                  <c:v>2.8000000000000001E-2</c:v>
                </c:pt>
                <c:pt idx="4">
                  <c:v>2.8000000000000001E-2</c:v>
                </c:pt>
                <c:pt idx="5">
                  <c:v>5.7000000000000002E-2</c:v>
                </c:pt>
                <c:pt idx="6">
                  <c:v>9.4E-2</c:v>
                </c:pt>
                <c:pt idx="7">
                  <c:v>0.104</c:v>
                </c:pt>
                <c:pt idx="8">
                  <c:v>0.123</c:v>
                </c:pt>
                <c:pt idx="9">
                  <c:v>0.245</c:v>
                </c:pt>
                <c:pt idx="10">
                  <c:v>0.27400000000000002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500-E54F-9F28-504767EB03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765201872"/>
        <c:axId val="277630415"/>
      </c:barChart>
      <c:catAx>
        <c:axId val="17652018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77630415"/>
        <c:crosses val="autoZero"/>
        <c:auto val="1"/>
        <c:lblAlgn val="ctr"/>
        <c:lblOffset val="100"/>
        <c:noMultiLvlLbl val="0"/>
      </c:catAx>
      <c:valAx>
        <c:axId val="27763041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652018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2022 Annual Report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2225</Words>
  <Characters>12684</Characters>
  <Application>Microsoft Office Word</Application>
  <DocSecurity>4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DELAWARE DRUG OVERDOSE FATALITY REVIEW COMMISSIon</dc:title>
  <dc:subject/>
  <dc:creator>Stout, Joshua</dc:creator>
  <cp:keywords/>
  <dc:description/>
  <cp:lastModifiedBy>Lawes, Julia E (DOJ)</cp:lastModifiedBy>
  <cp:revision>2</cp:revision>
  <dcterms:created xsi:type="dcterms:W3CDTF">2023-03-27T13:15:00Z</dcterms:created>
  <dcterms:modified xsi:type="dcterms:W3CDTF">2023-03-27T13:15:00Z</dcterms:modified>
</cp:coreProperties>
</file>