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EC65" w14:textId="77777777" w:rsidR="00A87451" w:rsidRPr="003B436E" w:rsidRDefault="00DB5689" w:rsidP="004834DE">
      <w:pPr>
        <w:pStyle w:val="Standard"/>
        <w:jc w:val="center"/>
        <w:rPr>
          <w:rFonts w:cs="Times New Roman"/>
          <w:b/>
          <w:bCs/>
        </w:rPr>
      </w:pPr>
      <w:r w:rsidRPr="003B436E">
        <w:rPr>
          <w:rFonts w:cs="Times New Roman"/>
          <w:b/>
          <w:bCs/>
        </w:rPr>
        <w:t xml:space="preserve"> </w:t>
      </w:r>
      <w:r w:rsidR="00FB3A6B" w:rsidRPr="003B436E">
        <w:rPr>
          <w:rFonts w:cs="Times New Roman"/>
          <w:b/>
          <w:bCs/>
        </w:rPr>
        <w:t xml:space="preserve">BEFORE THE </w:t>
      </w:r>
      <w:r w:rsidR="004834DE" w:rsidRPr="003B436E">
        <w:rPr>
          <w:rFonts w:cs="Times New Roman"/>
          <w:b/>
          <w:bCs/>
        </w:rPr>
        <w:t xml:space="preserve">GEORGIA GOVERNMENT TRANSPARENCY AND </w:t>
      </w:r>
    </w:p>
    <w:p w14:paraId="0857B071" w14:textId="77777777" w:rsidR="004834DE" w:rsidRPr="003B436E" w:rsidRDefault="004834DE" w:rsidP="004834DE">
      <w:pPr>
        <w:pStyle w:val="Standard"/>
        <w:jc w:val="center"/>
        <w:rPr>
          <w:rFonts w:cs="Times New Roman"/>
          <w:b/>
          <w:bCs/>
        </w:rPr>
      </w:pPr>
      <w:r w:rsidRPr="003B436E">
        <w:rPr>
          <w:rFonts w:cs="Times New Roman"/>
          <w:b/>
          <w:bCs/>
        </w:rPr>
        <w:t>CAMPAIGN FINANCE COMMISSION</w:t>
      </w:r>
    </w:p>
    <w:p w14:paraId="2718990C" w14:textId="77777777" w:rsidR="00D16190" w:rsidRPr="003B436E" w:rsidRDefault="00FB3A6B" w:rsidP="004834DE">
      <w:pPr>
        <w:pStyle w:val="Standard"/>
        <w:jc w:val="center"/>
        <w:rPr>
          <w:rFonts w:cs="Times New Roman"/>
          <w:b/>
          <w:bCs/>
        </w:rPr>
      </w:pPr>
      <w:r w:rsidRPr="003B436E">
        <w:rPr>
          <w:rFonts w:cs="Times New Roman"/>
          <w:b/>
          <w:bCs/>
        </w:rPr>
        <w:t>STATE OF GEORGIA</w:t>
      </w:r>
    </w:p>
    <w:p w14:paraId="75B42B76" w14:textId="77777777" w:rsidR="00D16190" w:rsidRPr="003B436E" w:rsidRDefault="00D16190" w:rsidP="004834DE">
      <w:pPr>
        <w:pStyle w:val="Standard"/>
        <w:jc w:val="center"/>
        <w:rPr>
          <w:rFonts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47"/>
        <w:gridCol w:w="4824"/>
      </w:tblGrid>
      <w:tr w:rsidR="004834DE" w:rsidRPr="003B436E" w14:paraId="14397CD9" w14:textId="77777777" w:rsidTr="004834DE">
        <w:tc>
          <w:tcPr>
            <w:tcW w:w="4788" w:type="dxa"/>
          </w:tcPr>
          <w:p w14:paraId="1BF4405C" w14:textId="77777777" w:rsidR="004834DE" w:rsidRPr="003B436E" w:rsidRDefault="004834DE" w:rsidP="004834DE">
            <w:pPr>
              <w:pStyle w:val="Standard"/>
              <w:jc w:val="center"/>
              <w:rPr>
                <w:rFonts w:cs="Times New Roman"/>
                <w:b/>
                <w:bCs/>
              </w:rPr>
            </w:pPr>
            <w:r w:rsidRPr="003B436E">
              <w:rPr>
                <w:rFonts w:cs="Times New Roman"/>
                <w:b/>
                <w:bCs/>
              </w:rPr>
              <w:t>IN THE MATTER OF:</w:t>
            </w:r>
          </w:p>
        </w:tc>
        <w:tc>
          <w:tcPr>
            <w:tcW w:w="450" w:type="dxa"/>
          </w:tcPr>
          <w:p w14:paraId="0455D1E2" w14:textId="77777777" w:rsidR="004834DE" w:rsidRPr="003B436E" w:rsidRDefault="004834DE" w:rsidP="004834DE">
            <w:pPr>
              <w:pStyle w:val="Standard"/>
              <w:jc w:val="center"/>
              <w:rPr>
                <w:rFonts w:cs="Times New Roman"/>
                <w:b/>
                <w:bCs/>
              </w:rPr>
            </w:pPr>
            <w:r w:rsidRPr="003B436E">
              <w:rPr>
                <w:rFonts w:cs="Times New Roman"/>
                <w:b/>
                <w:bCs/>
              </w:rPr>
              <w:t>*</w:t>
            </w:r>
          </w:p>
        </w:tc>
        <w:tc>
          <w:tcPr>
            <w:tcW w:w="4942" w:type="dxa"/>
          </w:tcPr>
          <w:p w14:paraId="6B617103" w14:textId="77777777" w:rsidR="004834DE" w:rsidRPr="003B436E" w:rsidRDefault="004834DE" w:rsidP="004834DE">
            <w:pPr>
              <w:pStyle w:val="Standard"/>
              <w:jc w:val="center"/>
              <w:rPr>
                <w:rFonts w:cs="Times New Roman"/>
                <w:b/>
                <w:bCs/>
              </w:rPr>
            </w:pPr>
            <w:r w:rsidRPr="003B436E">
              <w:rPr>
                <w:rFonts w:cs="Times New Roman"/>
                <w:b/>
                <w:bCs/>
              </w:rPr>
              <w:t>CASE NO.</w:t>
            </w:r>
          </w:p>
        </w:tc>
      </w:tr>
      <w:tr w:rsidR="004834DE" w:rsidRPr="003B436E" w14:paraId="401CBF05" w14:textId="77777777" w:rsidTr="004834DE">
        <w:tc>
          <w:tcPr>
            <w:tcW w:w="4788" w:type="dxa"/>
          </w:tcPr>
          <w:p w14:paraId="7C7754F0" w14:textId="77777777" w:rsidR="004834DE" w:rsidRPr="003B436E" w:rsidRDefault="004834DE" w:rsidP="004834DE">
            <w:pPr>
              <w:pStyle w:val="Standard"/>
              <w:jc w:val="center"/>
              <w:rPr>
                <w:rFonts w:cs="Times New Roman"/>
                <w:b/>
                <w:bCs/>
              </w:rPr>
            </w:pPr>
          </w:p>
          <w:p w14:paraId="09027FAA" w14:textId="53C7AF65" w:rsidR="00025106" w:rsidRPr="003B436E" w:rsidRDefault="00134F82" w:rsidP="00025106">
            <w:pPr>
              <w:pStyle w:val="Standard"/>
              <w:jc w:val="center"/>
              <w:rPr>
                <w:rFonts w:cs="Times New Roman"/>
                <w:b/>
                <w:bCs/>
              </w:rPr>
            </w:pPr>
            <w:r w:rsidRPr="003B436E">
              <w:rPr>
                <w:rFonts w:cs="Times New Roman"/>
                <w:b/>
                <w:bCs/>
              </w:rPr>
              <w:t>MARY NORWOOD</w:t>
            </w:r>
          </w:p>
          <w:p w14:paraId="3FE855A1" w14:textId="77777777" w:rsidR="004834DE" w:rsidRPr="003B436E" w:rsidRDefault="004834DE" w:rsidP="004834DE">
            <w:pPr>
              <w:pStyle w:val="Standard"/>
              <w:jc w:val="center"/>
              <w:rPr>
                <w:rFonts w:cs="Times New Roman"/>
                <w:b/>
                <w:bCs/>
              </w:rPr>
            </w:pPr>
          </w:p>
          <w:p w14:paraId="4F29D628" w14:textId="77777777" w:rsidR="00741CD4" w:rsidRPr="003B436E" w:rsidRDefault="00741CD4" w:rsidP="004834DE">
            <w:pPr>
              <w:pStyle w:val="Standard"/>
              <w:jc w:val="center"/>
              <w:rPr>
                <w:rFonts w:cs="Times New Roman"/>
                <w:b/>
                <w:bCs/>
              </w:rPr>
            </w:pPr>
          </w:p>
          <w:p w14:paraId="1309A01D" w14:textId="77777777" w:rsidR="007B635C" w:rsidRPr="003B436E" w:rsidRDefault="007B635C" w:rsidP="004834DE">
            <w:pPr>
              <w:pStyle w:val="Standard"/>
              <w:jc w:val="center"/>
              <w:rPr>
                <w:rFonts w:cs="Times New Roman"/>
                <w:b/>
                <w:bCs/>
              </w:rPr>
            </w:pPr>
          </w:p>
        </w:tc>
        <w:tc>
          <w:tcPr>
            <w:tcW w:w="450" w:type="dxa"/>
          </w:tcPr>
          <w:p w14:paraId="73503B5E" w14:textId="77777777" w:rsidR="004834DE" w:rsidRPr="003B436E" w:rsidRDefault="004834DE" w:rsidP="004834DE">
            <w:pPr>
              <w:pStyle w:val="Standard"/>
              <w:jc w:val="center"/>
              <w:rPr>
                <w:rFonts w:cs="Times New Roman"/>
                <w:b/>
                <w:bCs/>
              </w:rPr>
            </w:pPr>
            <w:r w:rsidRPr="003B436E">
              <w:rPr>
                <w:rFonts w:cs="Times New Roman"/>
                <w:b/>
                <w:bCs/>
              </w:rPr>
              <w:t>*</w:t>
            </w:r>
          </w:p>
          <w:p w14:paraId="6802863F" w14:textId="77777777" w:rsidR="004834DE" w:rsidRPr="003B436E" w:rsidRDefault="004834DE" w:rsidP="004834DE">
            <w:pPr>
              <w:pStyle w:val="Standard"/>
              <w:jc w:val="center"/>
              <w:rPr>
                <w:rFonts w:cs="Times New Roman"/>
                <w:b/>
                <w:bCs/>
              </w:rPr>
            </w:pPr>
            <w:r w:rsidRPr="003B436E">
              <w:rPr>
                <w:rFonts w:cs="Times New Roman"/>
                <w:b/>
                <w:bCs/>
              </w:rPr>
              <w:t>*</w:t>
            </w:r>
          </w:p>
          <w:p w14:paraId="43E51DE4" w14:textId="77777777" w:rsidR="004834DE" w:rsidRPr="003B436E" w:rsidRDefault="004834DE" w:rsidP="004834DE">
            <w:pPr>
              <w:pStyle w:val="Standard"/>
              <w:jc w:val="center"/>
              <w:rPr>
                <w:rFonts w:cs="Times New Roman"/>
                <w:b/>
                <w:bCs/>
              </w:rPr>
            </w:pPr>
            <w:r w:rsidRPr="003B436E">
              <w:rPr>
                <w:rFonts w:cs="Times New Roman"/>
                <w:b/>
                <w:bCs/>
              </w:rPr>
              <w:t>*</w:t>
            </w:r>
          </w:p>
          <w:p w14:paraId="47B88919" w14:textId="77777777" w:rsidR="004834DE" w:rsidRPr="003B436E" w:rsidRDefault="004834DE" w:rsidP="004834DE">
            <w:pPr>
              <w:pStyle w:val="Standard"/>
              <w:jc w:val="center"/>
              <w:rPr>
                <w:rFonts w:cs="Times New Roman"/>
                <w:b/>
                <w:bCs/>
              </w:rPr>
            </w:pPr>
            <w:r w:rsidRPr="003B436E">
              <w:rPr>
                <w:rFonts w:cs="Times New Roman"/>
                <w:b/>
                <w:bCs/>
              </w:rPr>
              <w:t>*</w:t>
            </w:r>
          </w:p>
          <w:p w14:paraId="0D7052AF" w14:textId="77777777" w:rsidR="004834DE" w:rsidRPr="003B436E" w:rsidRDefault="004834DE" w:rsidP="004834DE">
            <w:pPr>
              <w:pStyle w:val="Standard"/>
              <w:jc w:val="center"/>
              <w:rPr>
                <w:rFonts w:cs="Times New Roman"/>
                <w:b/>
                <w:bCs/>
              </w:rPr>
            </w:pPr>
            <w:r w:rsidRPr="003B436E">
              <w:rPr>
                <w:rFonts w:cs="Times New Roman"/>
                <w:b/>
                <w:bCs/>
              </w:rPr>
              <w:t>*</w:t>
            </w:r>
          </w:p>
        </w:tc>
        <w:tc>
          <w:tcPr>
            <w:tcW w:w="4942" w:type="dxa"/>
          </w:tcPr>
          <w:p w14:paraId="2920CBCF" w14:textId="77777777" w:rsidR="004834DE" w:rsidRPr="003B436E" w:rsidRDefault="004834DE" w:rsidP="004834DE">
            <w:pPr>
              <w:pStyle w:val="Standard"/>
              <w:jc w:val="center"/>
              <w:rPr>
                <w:rFonts w:cs="Times New Roman"/>
                <w:b/>
                <w:bCs/>
              </w:rPr>
            </w:pPr>
          </w:p>
          <w:p w14:paraId="6A377B92" w14:textId="684CB29F" w:rsidR="004834DE" w:rsidRPr="003B436E" w:rsidRDefault="00134F82" w:rsidP="004834DE">
            <w:pPr>
              <w:pStyle w:val="Standard"/>
              <w:jc w:val="center"/>
              <w:rPr>
                <w:rFonts w:cs="Times New Roman"/>
                <w:b/>
                <w:bCs/>
              </w:rPr>
            </w:pPr>
            <w:r w:rsidRPr="003B436E">
              <w:rPr>
                <w:rFonts w:cs="Times New Roman"/>
                <w:b/>
                <w:bCs/>
              </w:rPr>
              <w:t>2017-0233</w:t>
            </w:r>
          </w:p>
          <w:p w14:paraId="6D8C72CB" w14:textId="77777777" w:rsidR="004834DE" w:rsidRPr="003B436E" w:rsidRDefault="004834DE" w:rsidP="003A581A">
            <w:pPr>
              <w:pStyle w:val="Standard"/>
              <w:jc w:val="center"/>
              <w:rPr>
                <w:rFonts w:cs="Times New Roman"/>
                <w:b/>
                <w:bCs/>
              </w:rPr>
            </w:pPr>
          </w:p>
        </w:tc>
      </w:tr>
    </w:tbl>
    <w:p w14:paraId="29D90499" w14:textId="77777777" w:rsidR="00D16190" w:rsidRPr="003B436E" w:rsidRDefault="00D16190" w:rsidP="004834DE">
      <w:pPr>
        <w:pStyle w:val="Standard"/>
        <w:pBdr>
          <w:bottom w:val="single" w:sz="6" w:space="1" w:color="auto"/>
        </w:pBdr>
        <w:rPr>
          <w:rFonts w:cs="Times New Roman"/>
          <w:b/>
          <w:bCs/>
        </w:rPr>
      </w:pPr>
    </w:p>
    <w:p w14:paraId="05923D00" w14:textId="77777777" w:rsidR="00D74DDC" w:rsidRPr="003B436E" w:rsidRDefault="00D74DDC" w:rsidP="004834DE">
      <w:pPr>
        <w:pStyle w:val="Standard"/>
        <w:rPr>
          <w:rFonts w:cs="Times New Roman"/>
          <w:b/>
          <w:bCs/>
        </w:rPr>
      </w:pPr>
    </w:p>
    <w:p w14:paraId="563ACD30" w14:textId="77777777" w:rsidR="00D16190" w:rsidRPr="003B436E" w:rsidRDefault="00CE275C" w:rsidP="004834DE">
      <w:pPr>
        <w:pStyle w:val="Standard"/>
        <w:jc w:val="center"/>
        <w:rPr>
          <w:rFonts w:cs="Times New Roman"/>
          <w:b/>
          <w:bCs/>
          <w:u w:val="single"/>
        </w:rPr>
      </w:pPr>
      <w:r w:rsidRPr="003B436E">
        <w:rPr>
          <w:rFonts w:cs="Times New Roman"/>
          <w:b/>
          <w:bCs/>
          <w:u w:val="single"/>
        </w:rPr>
        <w:t>CON</w:t>
      </w:r>
      <w:r w:rsidR="00041CE3" w:rsidRPr="003B436E">
        <w:rPr>
          <w:rFonts w:cs="Times New Roman"/>
          <w:b/>
          <w:bCs/>
          <w:u w:val="single"/>
        </w:rPr>
        <w:t>SENT</w:t>
      </w:r>
      <w:r w:rsidR="00FB3A6B" w:rsidRPr="003B436E">
        <w:rPr>
          <w:rFonts w:cs="Times New Roman"/>
          <w:b/>
          <w:bCs/>
          <w:u w:val="single"/>
        </w:rPr>
        <w:t xml:space="preserve"> ORDER</w:t>
      </w:r>
    </w:p>
    <w:p w14:paraId="28DEA060" w14:textId="77777777" w:rsidR="00D16190" w:rsidRPr="003B436E" w:rsidRDefault="00D16190" w:rsidP="004834DE">
      <w:pPr>
        <w:pStyle w:val="Standard"/>
        <w:jc w:val="center"/>
        <w:rPr>
          <w:rFonts w:cs="Times New Roman"/>
        </w:rPr>
      </w:pPr>
    </w:p>
    <w:p w14:paraId="7FBB58F7" w14:textId="077036C9" w:rsidR="00FB3A6B" w:rsidRPr="003B436E" w:rsidRDefault="00FB3A6B" w:rsidP="004834DE">
      <w:pPr>
        <w:pStyle w:val="Standard"/>
        <w:jc w:val="both"/>
        <w:rPr>
          <w:rFonts w:cs="Times New Roman"/>
        </w:rPr>
      </w:pPr>
      <w:r w:rsidRPr="003B436E">
        <w:rPr>
          <w:rFonts w:cs="Times New Roman"/>
        </w:rPr>
        <w:t xml:space="preserve">This matter comes before the </w:t>
      </w:r>
      <w:r w:rsidR="004834DE" w:rsidRPr="003B436E">
        <w:rPr>
          <w:rFonts w:cs="Times New Roman"/>
        </w:rPr>
        <w:t>Georgia Government Transparency and Campaign Finance Commission</w:t>
      </w:r>
      <w:r w:rsidRPr="003B436E">
        <w:rPr>
          <w:rFonts w:cs="Times New Roman"/>
        </w:rPr>
        <w:t xml:space="preserve"> (</w:t>
      </w:r>
      <w:r w:rsidR="009E01FA" w:rsidRPr="003B436E">
        <w:rPr>
          <w:rFonts w:cs="Times New Roman"/>
        </w:rPr>
        <w:t>hereinafter</w:t>
      </w:r>
      <w:r w:rsidR="00DB40DF" w:rsidRPr="003B436E">
        <w:rPr>
          <w:rFonts w:cs="Times New Roman"/>
        </w:rPr>
        <w:t xml:space="preserve"> “</w:t>
      </w:r>
      <w:r w:rsidRPr="003B436E">
        <w:rPr>
          <w:rFonts w:cs="Times New Roman"/>
        </w:rPr>
        <w:t>Commission</w:t>
      </w:r>
      <w:r w:rsidR="00DB40DF" w:rsidRPr="003B436E">
        <w:rPr>
          <w:rFonts w:cs="Times New Roman"/>
        </w:rPr>
        <w:t>”</w:t>
      </w:r>
      <w:r w:rsidRPr="003B436E">
        <w:rPr>
          <w:rFonts w:cs="Times New Roman"/>
        </w:rPr>
        <w:t>) p</w:t>
      </w:r>
      <w:r w:rsidR="00D90CEE" w:rsidRPr="003B436E">
        <w:rPr>
          <w:rFonts w:cs="Times New Roman"/>
        </w:rPr>
        <w:t>ursuant t</w:t>
      </w:r>
      <w:r w:rsidR="006654A3" w:rsidRPr="003B436E">
        <w:rPr>
          <w:rFonts w:cs="Times New Roman"/>
        </w:rPr>
        <w:t>o a</w:t>
      </w:r>
      <w:r w:rsidR="00A41DC4" w:rsidRPr="003B436E">
        <w:rPr>
          <w:rFonts w:cs="Times New Roman"/>
        </w:rPr>
        <w:t xml:space="preserve"> complaint filed </w:t>
      </w:r>
      <w:r w:rsidR="00C1271C" w:rsidRPr="003B436E">
        <w:rPr>
          <w:rFonts w:cs="Times New Roman"/>
        </w:rPr>
        <w:t xml:space="preserve">by </w:t>
      </w:r>
      <w:r w:rsidR="00635D2F" w:rsidRPr="003B436E">
        <w:rPr>
          <w:rFonts w:cs="Times New Roman"/>
        </w:rPr>
        <w:t xml:space="preserve">Charles </w:t>
      </w:r>
      <w:proofErr w:type="spellStart"/>
      <w:r w:rsidR="00635D2F" w:rsidRPr="003B436E">
        <w:rPr>
          <w:rFonts w:cs="Times New Roman"/>
        </w:rPr>
        <w:t>Stadtlander</w:t>
      </w:r>
      <w:proofErr w:type="spellEnd"/>
      <w:r w:rsidR="00D90CEE" w:rsidRPr="003B436E">
        <w:rPr>
          <w:rFonts w:cs="Times New Roman"/>
        </w:rPr>
        <w:t xml:space="preserve"> </w:t>
      </w:r>
      <w:r w:rsidRPr="003B436E">
        <w:rPr>
          <w:rFonts w:cs="Times New Roman"/>
        </w:rPr>
        <w:t xml:space="preserve">on or </w:t>
      </w:r>
      <w:r w:rsidR="00C96F50" w:rsidRPr="003B436E">
        <w:rPr>
          <w:rFonts w:cs="Times New Roman"/>
        </w:rPr>
        <w:t>about</w:t>
      </w:r>
      <w:r w:rsidR="00741CD4" w:rsidRPr="003B436E">
        <w:rPr>
          <w:rFonts w:cs="Times New Roman"/>
        </w:rPr>
        <w:t xml:space="preserve"> </w:t>
      </w:r>
      <w:r w:rsidR="00635D2F" w:rsidRPr="003B436E">
        <w:rPr>
          <w:rFonts w:cs="Times New Roman"/>
        </w:rPr>
        <w:t>December 4, 2017</w:t>
      </w:r>
      <w:r w:rsidRPr="003B436E">
        <w:rPr>
          <w:rFonts w:cs="Times New Roman"/>
        </w:rPr>
        <w:t>.  Now,</w:t>
      </w:r>
      <w:r w:rsidR="00ED7E01" w:rsidRPr="003B436E">
        <w:rPr>
          <w:rFonts w:cs="Times New Roman"/>
        </w:rPr>
        <w:t xml:space="preserve"> </w:t>
      </w:r>
      <w:r w:rsidRPr="003B436E">
        <w:rPr>
          <w:rFonts w:cs="Times New Roman"/>
        </w:rPr>
        <w:t xml:space="preserve">prior to a </w:t>
      </w:r>
      <w:r w:rsidR="00BB70BD" w:rsidRPr="003B436E">
        <w:rPr>
          <w:rFonts w:cs="Times New Roman"/>
        </w:rPr>
        <w:t>final</w:t>
      </w:r>
      <w:r w:rsidRPr="003B436E">
        <w:rPr>
          <w:rFonts w:cs="Times New Roman"/>
        </w:rPr>
        <w:t xml:space="preserve"> hearing on this matter, Respondent</w:t>
      </w:r>
      <w:r w:rsidR="00C9714A" w:rsidRPr="003B436E">
        <w:rPr>
          <w:rFonts w:cs="Times New Roman"/>
        </w:rPr>
        <w:t xml:space="preserve"> </w:t>
      </w:r>
      <w:r w:rsidR="00635D2F" w:rsidRPr="003B436E">
        <w:rPr>
          <w:rFonts w:cs="Times New Roman"/>
        </w:rPr>
        <w:t>Mary Norwood</w:t>
      </w:r>
      <w:r w:rsidRPr="003B436E">
        <w:rPr>
          <w:rFonts w:cs="Times New Roman"/>
        </w:rPr>
        <w:t xml:space="preserve"> </w:t>
      </w:r>
      <w:r w:rsidR="009E01FA" w:rsidRPr="003B436E">
        <w:rPr>
          <w:rFonts w:cs="Times New Roman"/>
        </w:rPr>
        <w:t>(hereinafter</w:t>
      </w:r>
      <w:r w:rsidR="00DB40DF" w:rsidRPr="003B436E">
        <w:rPr>
          <w:rFonts w:cs="Times New Roman"/>
        </w:rPr>
        <w:t xml:space="preserve"> “Respondent”) </w:t>
      </w:r>
      <w:r w:rsidRPr="003B436E">
        <w:rPr>
          <w:rFonts w:cs="Times New Roman"/>
        </w:rPr>
        <w:t xml:space="preserve">and the Commission agree to </w:t>
      </w:r>
      <w:r w:rsidR="00D90CEE" w:rsidRPr="003B436E">
        <w:rPr>
          <w:rFonts w:cs="Times New Roman"/>
        </w:rPr>
        <w:t>resolve the</w:t>
      </w:r>
      <w:r w:rsidR="009E01FA" w:rsidRPr="003B436E">
        <w:rPr>
          <w:rFonts w:cs="Times New Roman"/>
        </w:rPr>
        <w:t xml:space="preserve"> above-styled</w:t>
      </w:r>
      <w:r w:rsidR="00D90CEE" w:rsidRPr="003B436E">
        <w:rPr>
          <w:rFonts w:cs="Times New Roman"/>
        </w:rPr>
        <w:t xml:space="preserve"> matter by </w:t>
      </w:r>
      <w:r w:rsidR="00DB40DF" w:rsidRPr="003B436E">
        <w:rPr>
          <w:rFonts w:cs="Times New Roman"/>
        </w:rPr>
        <w:t>Consent</w:t>
      </w:r>
      <w:r w:rsidRPr="003B436E">
        <w:rPr>
          <w:rFonts w:cs="Times New Roman"/>
        </w:rPr>
        <w:t xml:space="preserve"> Order</w:t>
      </w:r>
      <w:r w:rsidR="00DB40DF" w:rsidRPr="003B436E">
        <w:rPr>
          <w:rFonts w:cs="Times New Roman"/>
        </w:rPr>
        <w:t xml:space="preserve"> under the terms and conditions described herein</w:t>
      </w:r>
      <w:r w:rsidRPr="003B436E">
        <w:rPr>
          <w:rFonts w:cs="Times New Roman"/>
        </w:rPr>
        <w:t>.</w:t>
      </w:r>
    </w:p>
    <w:p w14:paraId="5150F09E" w14:textId="77777777" w:rsidR="00D60A43" w:rsidRPr="003B436E" w:rsidRDefault="00D60A43" w:rsidP="004834DE">
      <w:pPr>
        <w:pStyle w:val="Standard"/>
        <w:jc w:val="both"/>
        <w:rPr>
          <w:rFonts w:cs="Times New Roman"/>
          <w:highlight w:val="yellow"/>
        </w:rPr>
      </w:pPr>
    </w:p>
    <w:p w14:paraId="292BC507" w14:textId="77777777" w:rsidR="00D16190" w:rsidRPr="00DA09E0" w:rsidRDefault="00FB3A6B" w:rsidP="004834DE">
      <w:pPr>
        <w:pStyle w:val="Standard"/>
        <w:jc w:val="center"/>
        <w:rPr>
          <w:rFonts w:cs="Times New Roman"/>
          <w:b/>
          <w:bCs/>
          <w:u w:val="single"/>
        </w:rPr>
      </w:pPr>
      <w:r w:rsidRPr="00DA09E0">
        <w:rPr>
          <w:rFonts w:cs="Times New Roman"/>
          <w:b/>
          <w:bCs/>
          <w:u w:val="single"/>
        </w:rPr>
        <w:t>FINDINGS OF FACT</w:t>
      </w:r>
    </w:p>
    <w:p w14:paraId="0F32590A" w14:textId="77777777" w:rsidR="006A3191" w:rsidRPr="00DA09E0" w:rsidRDefault="006A3191" w:rsidP="004834DE">
      <w:pPr>
        <w:rPr>
          <w:rFonts w:cs="Times New Roman"/>
        </w:rPr>
      </w:pPr>
    </w:p>
    <w:p w14:paraId="198E90A7" w14:textId="44EA43B7" w:rsidR="0072507D" w:rsidRPr="00DA09E0" w:rsidRDefault="00DB40DF" w:rsidP="00462705">
      <w:pPr>
        <w:jc w:val="both"/>
        <w:rPr>
          <w:rFonts w:cs="Times New Roman"/>
        </w:rPr>
      </w:pPr>
      <w:r w:rsidRPr="00DA09E0">
        <w:rPr>
          <w:rFonts w:cs="Times New Roman"/>
        </w:rPr>
        <w:t>Respondent</w:t>
      </w:r>
      <w:r w:rsidR="00C9714A" w:rsidRPr="00DA09E0">
        <w:rPr>
          <w:rFonts w:cs="Times New Roman"/>
        </w:rPr>
        <w:t xml:space="preserve"> </w:t>
      </w:r>
      <w:r w:rsidR="009E01FA" w:rsidRPr="00DA09E0">
        <w:rPr>
          <w:rFonts w:cs="Times New Roman"/>
        </w:rPr>
        <w:t xml:space="preserve">is </w:t>
      </w:r>
      <w:r w:rsidR="00635D2F" w:rsidRPr="00DA09E0">
        <w:rPr>
          <w:rFonts w:cs="Times New Roman"/>
        </w:rPr>
        <w:t>a</w:t>
      </w:r>
      <w:r w:rsidR="00C1271C" w:rsidRPr="00DA09E0">
        <w:rPr>
          <w:rFonts w:cs="Times New Roman"/>
        </w:rPr>
        <w:t xml:space="preserve"> former</w:t>
      </w:r>
      <w:r w:rsidR="00635D2F" w:rsidRPr="00DA09E0">
        <w:rPr>
          <w:rFonts w:cs="Times New Roman"/>
        </w:rPr>
        <w:t xml:space="preserve"> candidate for Mayor of the City of Atlanta, Georgia, who</w:t>
      </w:r>
      <w:r w:rsidR="007009AF" w:rsidRPr="00DA09E0">
        <w:rPr>
          <w:rFonts w:cs="Times New Roman"/>
        </w:rPr>
        <w:t xml:space="preserve"> </w:t>
      </w:r>
      <w:r w:rsidR="009E01FA" w:rsidRPr="00DA09E0">
        <w:rPr>
          <w:rFonts w:cs="Times New Roman"/>
        </w:rPr>
        <w:t xml:space="preserve">most recently </w:t>
      </w:r>
      <w:r w:rsidR="00C1271C" w:rsidRPr="00DA09E0">
        <w:rPr>
          <w:rFonts w:cs="Times New Roman"/>
        </w:rPr>
        <w:t>campaign</w:t>
      </w:r>
      <w:r w:rsidR="007009AF" w:rsidRPr="00DA09E0">
        <w:rPr>
          <w:rFonts w:cs="Times New Roman"/>
        </w:rPr>
        <w:t>ed</w:t>
      </w:r>
      <w:r w:rsidR="009E01FA" w:rsidRPr="00DA09E0">
        <w:rPr>
          <w:rFonts w:cs="Times New Roman"/>
        </w:rPr>
        <w:t xml:space="preserve"> </w:t>
      </w:r>
      <w:r w:rsidR="00C1271C" w:rsidRPr="00DA09E0">
        <w:rPr>
          <w:rFonts w:cs="Times New Roman"/>
        </w:rPr>
        <w:t>for</w:t>
      </w:r>
      <w:r w:rsidR="009E01FA" w:rsidRPr="00DA09E0">
        <w:rPr>
          <w:rFonts w:cs="Times New Roman"/>
        </w:rPr>
        <w:t xml:space="preserve"> </w:t>
      </w:r>
      <w:r w:rsidR="007009AF" w:rsidRPr="00DA09E0">
        <w:rPr>
          <w:rFonts w:cs="Times New Roman"/>
        </w:rPr>
        <w:t>said</w:t>
      </w:r>
      <w:r w:rsidR="009E01FA" w:rsidRPr="00DA09E0">
        <w:rPr>
          <w:rFonts w:cs="Times New Roman"/>
        </w:rPr>
        <w:t xml:space="preserve"> office</w:t>
      </w:r>
      <w:r w:rsidR="00C9714A" w:rsidRPr="00DA09E0">
        <w:rPr>
          <w:rFonts w:cs="Times New Roman"/>
        </w:rPr>
        <w:t xml:space="preserve"> during the </w:t>
      </w:r>
      <w:r w:rsidR="00C1271C" w:rsidRPr="00DA09E0">
        <w:rPr>
          <w:rFonts w:cs="Times New Roman"/>
        </w:rPr>
        <w:t>201</w:t>
      </w:r>
      <w:r w:rsidR="00635D2F" w:rsidRPr="00DA09E0">
        <w:rPr>
          <w:rFonts w:cs="Times New Roman"/>
        </w:rPr>
        <w:t>7</w:t>
      </w:r>
      <w:r w:rsidR="00C9714A" w:rsidRPr="00DA09E0">
        <w:rPr>
          <w:rFonts w:cs="Times New Roman"/>
        </w:rPr>
        <w:t xml:space="preserve"> general election</w:t>
      </w:r>
      <w:r w:rsidR="009E01FA" w:rsidRPr="00DA09E0">
        <w:rPr>
          <w:rFonts w:cs="Times New Roman"/>
        </w:rPr>
        <w:t xml:space="preserve"> cycle</w:t>
      </w:r>
      <w:r w:rsidR="00BB70BD" w:rsidRPr="00DA09E0">
        <w:rPr>
          <w:rFonts w:cs="Times New Roman"/>
        </w:rPr>
        <w:t>,</w:t>
      </w:r>
      <w:r w:rsidR="0072507D" w:rsidRPr="00DA09E0">
        <w:rPr>
          <w:rFonts w:cs="Times New Roman"/>
        </w:rPr>
        <w:t xml:space="preserve"> after the filing of h</w:t>
      </w:r>
      <w:r w:rsidR="00635D2F" w:rsidRPr="00DA09E0">
        <w:rPr>
          <w:rFonts w:cs="Times New Roman"/>
        </w:rPr>
        <w:t>er</w:t>
      </w:r>
      <w:r w:rsidR="0072507D" w:rsidRPr="00DA09E0">
        <w:rPr>
          <w:rFonts w:cs="Times New Roman"/>
        </w:rPr>
        <w:t xml:space="preserve"> </w:t>
      </w:r>
      <w:r w:rsidR="00635D2F" w:rsidRPr="00DA09E0">
        <w:rPr>
          <w:rFonts w:cs="Times New Roman"/>
        </w:rPr>
        <w:t>d</w:t>
      </w:r>
      <w:r w:rsidR="0072507D" w:rsidRPr="00DA09E0">
        <w:rPr>
          <w:rFonts w:cs="Times New Roman"/>
        </w:rPr>
        <w:t xml:space="preserve">eclaration to </w:t>
      </w:r>
      <w:r w:rsidR="00635D2F" w:rsidRPr="00DA09E0">
        <w:rPr>
          <w:rFonts w:cs="Times New Roman"/>
        </w:rPr>
        <w:t>i</w:t>
      </w:r>
      <w:r w:rsidR="0072507D" w:rsidRPr="00DA09E0">
        <w:rPr>
          <w:rFonts w:cs="Times New Roman"/>
        </w:rPr>
        <w:t xml:space="preserve">ntention to </w:t>
      </w:r>
      <w:r w:rsidR="00635D2F" w:rsidRPr="00DA09E0">
        <w:rPr>
          <w:rFonts w:cs="Times New Roman"/>
        </w:rPr>
        <w:t>a</w:t>
      </w:r>
      <w:r w:rsidR="0072507D" w:rsidRPr="00DA09E0">
        <w:rPr>
          <w:rFonts w:cs="Times New Roman"/>
        </w:rPr>
        <w:t xml:space="preserve">ccept </w:t>
      </w:r>
      <w:r w:rsidR="00635D2F" w:rsidRPr="00DA09E0">
        <w:rPr>
          <w:rFonts w:cs="Times New Roman"/>
        </w:rPr>
        <w:t>c</w:t>
      </w:r>
      <w:r w:rsidR="0072507D" w:rsidRPr="00DA09E0">
        <w:rPr>
          <w:rFonts w:cs="Times New Roman"/>
        </w:rPr>
        <w:t xml:space="preserve">ampaign </w:t>
      </w:r>
      <w:r w:rsidR="00635D2F" w:rsidRPr="00DA09E0">
        <w:rPr>
          <w:rFonts w:cs="Times New Roman"/>
        </w:rPr>
        <w:t>c</w:t>
      </w:r>
      <w:r w:rsidR="0072507D" w:rsidRPr="00DA09E0">
        <w:rPr>
          <w:rFonts w:cs="Times New Roman"/>
        </w:rPr>
        <w:t xml:space="preserve">ontributions </w:t>
      </w:r>
      <w:r w:rsidR="00635D2F" w:rsidRPr="00DA09E0">
        <w:rPr>
          <w:rFonts w:cs="Times New Roman"/>
        </w:rPr>
        <w:t>on October 5</w:t>
      </w:r>
      <w:r w:rsidR="0072507D" w:rsidRPr="00DA09E0">
        <w:rPr>
          <w:rFonts w:cs="Times New Roman"/>
        </w:rPr>
        <w:t>, 2006, and h</w:t>
      </w:r>
      <w:r w:rsidR="00635D2F" w:rsidRPr="00DA09E0">
        <w:rPr>
          <w:rFonts w:cs="Times New Roman"/>
        </w:rPr>
        <w:t>er</w:t>
      </w:r>
      <w:r w:rsidR="0072507D" w:rsidRPr="00DA09E0">
        <w:rPr>
          <w:rFonts w:cs="Times New Roman"/>
        </w:rPr>
        <w:t xml:space="preserve"> qualification </w:t>
      </w:r>
      <w:r w:rsidR="00BB70BD" w:rsidRPr="00DA09E0">
        <w:rPr>
          <w:rFonts w:cs="Times New Roman"/>
        </w:rPr>
        <w:t xml:space="preserve">to stand for election to </w:t>
      </w:r>
      <w:r w:rsidR="0072507D" w:rsidRPr="00DA09E0">
        <w:rPr>
          <w:rFonts w:cs="Times New Roman"/>
        </w:rPr>
        <w:t>said office on March 3, 2014.</w:t>
      </w:r>
      <w:r w:rsidR="00354AB7" w:rsidRPr="00DA09E0">
        <w:rPr>
          <w:rFonts w:cs="Times New Roman"/>
        </w:rPr>
        <w:t xml:space="preserve"> </w:t>
      </w:r>
      <w:r w:rsidR="00DC21BC" w:rsidRPr="00DA09E0">
        <w:rPr>
          <w:rFonts w:cs="Times New Roman"/>
        </w:rPr>
        <w:t xml:space="preserve"> </w:t>
      </w:r>
    </w:p>
    <w:p w14:paraId="0D501D1B" w14:textId="77777777" w:rsidR="0072507D" w:rsidRPr="003B436E" w:rsidRDefault="0072507D" w:rsidP="00462705">
      <w:pPr>
        <w:jc w:val="both"/>
        <w:rPr>
          <w:rFonts w:cs="Times New Roman"/>
          <w:highlight w:val="yellow"/>
        </w:rPr>
      </w:pPr>
    </w:p>
    <w:p w14:paraId="659CFCEF" w14:textId="3FEFC2CD" w:rsidR="005F2F66" w:rsidRPr="00620711" w:rsidRDefault="001A0A49" w:rsidP="00DA09E0">
      <w:pPr>
        <w:jc w:val="both"/>
        <w:rPr>
          <w:rFonts w:cs="Times New Roman"/>
        </w:rPr>
      </w:pPr>
      <w:r w:rsidRPr="00620711">
        <w:rPr>
          <w:rFonts w:cs="Times New Roman"/>
        </w:rPr>
        <w:t xml:space="preserve">At the time of the alleged violations, </w:t>
      </w:r>
      <w:r w:rsidR="00DA09E0" w:rsidRPr="00620711">
        <w:rPr>
          <w:rFonts w:cs="Times New Roman"/>
        </w:rPr>
        <w:t>R</w:t>
      </w:r>
      <w:r w:rsidRPr="00620711">
        <w:rPr>
          <w:rFonts w:cs="Times New Roman"/>
        </w:rPr>
        <w:t>espondent was a</w:t>
      </w:r>
      <w:r w:rsidR="00DA09E0" w:rsidRPr="00620711">
        <w:rPr>
          <w:rFonts w:cs="Times New Roman"/>
        </w:rPr>
        <w:t xml:space="preserve"> candidate for elected public office</w:t>
      </w:r>
      <w:r w:rsidR="00BB70BD" w:rsidRPr="00620711">
        <w:rPr>
          <w:rFonts w:cs="Times New Roman"/>
        </w:rPr>
        <w:t>,</w:t>
      </w:r>
      <w:r w:rsidRPr="00620711">
        <w:rPr>
          <w:rFonts w:cs="Times New Roman"/>
        </w:rPr>
        <w:t xml:space="preserve"> who was</w:t>
      </w:r>
      <w:r w:rsidR="0072507D" w:rsidRPr="00620711">
        <w:rPr>
          <w:rFonts w:cs="Times New Roman"/>
        </w:rPr>
        <w:t xml:space="preserve"> required to regularly report the amount(s) and source(s) of h</w:t>
      </w:r>
      <w:r w:rsidR="00DA09E0" w:rsidRPr="00620711">
        <w:rPr>
          <w:rFonts w:cs="Times New Roman"/>
        </w:rPr>
        <w:t>er</w:t>
      </w:r>
      <w:r w:rsidR="0072507D" w:rsidRPr="00620711">
        <w:rPr>
          <w:rFonts w:cs="Times New Roman"/>
        </w:rPr>
        <w:t xml:space="preserve"> campaign contribution(s), as well as, the end recipient(s) and sum(s) of his campaign expenditures through the filing of </w:t>
      </w:r>
      <w:r w:rsidR="00DA09E0" w:rsidRPr="00620711">
        <w:rPr>
          <w:rFonts w:cs="Times New Roman"/>
        </w:rPr>
        <w:t>c</w:t>
      </w:r>
      <w:r w:rsidR="0072507D" w:rsidRPr="00620711">
        <w:rPr>
          <w:rFonts w:cs="Times New Roman"/>
        </w:rPr>
        <w:t xml:space="preserve">ampaign </w:t>
      </w:r>
      <w:r w:rsidR="00DA09E0" w:rsidRPr="00620711">
        <w:rPr>
          <w:rFonts w:cs="Times New Roman"/>
        </w:rPr>
        <w:t>c</w:t>
      </w:r>
      <w:r w:rsidR="0072507D" w:rsidRPr="00620711">
        <w:rPr>
          <w:rFonts w:cs="Times New Roman"/>
        </w:rPr>
        <w:t xml:space="preserve">ontribution </w:t>
      </w:r>
      <w:r w:rsidR="00DA09E0" w:rsidRPr="00620711">
        <w:rPr>
          <w:rFonts w:cs="Times New Roman"/>
        </w:rPr>
        <w:t>d</w:t>
      </w:r>
      <w:r w:rsidR="0072507D" w:rsidRPr="00620711">
        <w:rPr>
          <w:rFonts w:cs="Times New Roman"/>
        </w:rPr>
        <w:t xml:space="preserve">isclosure </w:t>
      </w:r>
      <w:r w:rsidR="00DA09E0" w:rsidRPr="00620711">
        <w:rPr>
          <w:rFonts w:cs="Times New Roman"/>
        </w:rPr>
        <w:t>r</w:t>
      </w:r>
      <w:r w:rsidR="0072507D" w:rsidRPr="00620711">
        <w:rPr>
          <w:rFonts w:cs="Times New Roman"/>
        </w:rPr>
        <w:t>eports (hereinafter “CCDR”).</w:t>
      </w:r>
    </w:p>
    <w:p w14:paraId="52A052FC" w14:textId="77777777" w:rsidR="001A0A49" w:rsidRPr="00620711" w:rsidRDefault="001A0A49" w:rsidP="001A0A49">
      <w:pPr>
        <w:jc w:val="both"/>
        <w:rPr>
          <w:rFonts w:cs="Times New Roman"/>
        </w:rPr>
      </w:pPr>
    </w:p>
    <w:p w14:paraId="6B9C788B" w14:textId="36621E9B" w:rsidR="001A0A49" w:rsidRPr="00620711" w:rsidRDefault="004C09A3" w:rsidP="001A0A49">
      <w:pPr>
        <w:jc w:val="both"/>
        <w:rPr>
          <w:rFonts w:cs="Times New Roman"/>
        </w:rPr>
      </w:pPr>
      <w:r w:rsidRPr="00620711">
        <w:rPr>
          <w:rFonts w:cs="Times New Roman"/>
        </w:rPr>
        <w:t xml:space="preserve">In addition to imposing </w:t>
      </w:r>
      <w:r w:rsidR="00BB70BD" w:rsidRPr="00620711">
        <w:rPr>
          <w:rFonts w:cs="Times New Roman"/>
        </w:rPr>
        <w:t>regular reporting</w:t>
      </w:r>
      <w:r w:rsidRPr="00620711">
        <w:rPr>
          <w:rFonts w:cs="Times New Roman"/>
        </w:rPr>
        <w:t xml:space="preserve"> requirements, the Georgia General Assembly has </w:t>
      </w:r>
      <w:r w:rsidR="00620711" w:rsidRPr="00620711">
        <w:rPr>
          <w:rFonts w:cs="Times New Roman"/>
        </w:rPr>
        <w:t xml:space="preserve">also imposed a maximum limit </w:t>
      </w:r>
      <w:r w:rsidR="00483E66">
        <w:rPr>
          <w:rFonts w:cs="Times New Roman"/>
        </w:rPr>
        <w:t>on the amount of</w:t>
      </w:r>
      <w:r w:rsidR="00620711" w:rsidRPr="00620711">
        <w:rPr>
          <w:rFonts w:cs="Times New Roman"/>
        </w:rPr>
        <w:t xml:space="preserve"> campaign contributions that a candidate for elected public office may raise during an election cycle for use in their campaign for elected office. </w:t>
      </w:r>
      <w:r w:rsidR="00620711" w:rsidRPr="00620711">
        <w:rPr>
          <w:rFonts w:cs="Times New Roman"/>
          <w:i/>
          <w:iCs/>
        </w:rPr>
        <w:t xml:space="preserve">See </w:t>
      </w:r>
      <w:r w:rsidR="00620711" w:rsidRPr="00620711">
        <w:rPr>
          <w:rFonts w:cs="Times New Roman"/>
        </w:rPr>
        <w:t xml:space="preserve">O.C.G.A. § 21-5-41.  </w:t>
      </w:r>
      <w:r w:rsidRPr="00620711">
        <w:rPr>
          <w:rFonts w:cs="Times New Roman"/>
        </w:rPr>
        <w:t xml:space="preserve">In the case </w:t>
      </w:r>
      <w:r w:rsidRPr="00620711">
        <w:rPr>
          <w:rFonts w:cs="Times New Roman"/>
          <w:i/>
        </w:rPr>
        <w:t xml:space="preserve">sub </w:t>
      </w:r>
      <w:proofErr w:type="spellStart"/>
      <w:r w:rsidRPr="00620711">
        <w:rPr>
          <w:rFonts w:cs="Times New Roman"/>
          <w:i/>
        </w:rPr>
        <w:t>judice</w:t>
      </w:r>
      <w:proofErr w:type="spellEnd"/>
      <w:r w:rsidRPr="00620711">
        <w:rPr>
          <w:rFonts w:cs="Times New Roman"/>
        </w:rPr>
        <w:t>, the Commission finds that Respondent:</w:t>
      </w:r>
    </w:p>
    <w:p w14:paraId="6CC95505" w14:textId="77777777" w:rsidR="00BB70BD" w:rsidRPr="003B436E" w:rsidRDefault="00BB70BD" w:rsidP="001A0A49">
      <w:pPr>
        <w:jc w:val="both"/>
        <w:rPr>
          <w:rFonts w:cs="Times New Roman"/>
          <w:highlight w:val="yellow"/>
        </w:rPr>
      </w:pPr>
      <w:bookmarkStart w:id="0" w:name="_GoBack"/>
      <w:bookmarkEnd w:id="0"/>
    </w:p>
    <w:p w14:paraId="0394D76C" w14:textId="729F7896" w:rsidR="00620711" w:rsidRPr="00DA09E0" w:rsidRDefault="00620711" w:rsidP="00620711">
      <w:pPr>
        <w:pStyle w:val="ListParagraph"/>
        <w:numPr>
          <w:ilvl w:val="0"/>
          <w:numId w:val="39"/>
        </w:numPr>
        <w:jc w:val="both"/>
      </w:pPr>
      <w:r w:rsidRPr="00DA09E0">
        <w:t>Improperly accepted $58,300.00</w:t>
      </w:r>
      <w:r>
        <w:t xml:space="preserve"> (aggregate total accepted above limits)</w:t>
      </w:r>
      <w:r w:rsidRPr="00DA09E0">
        <w:t xml:space="preserve"> in campaign contributions</w:t>
      </w:r>
      <w:r>
        <w:t xml:space="preserve"> from various contributors</w:t>
      </w:r>
      <w:r w:rsidRPr="00DA09E0">
        <w:t xml:space="preserve"> which exceeded maximum campaign contribution limits.</w:t>
      </w:r>
    </w:p>
    <w:p w14:paraId="547B1E65" w14:textId="1D0BA3A3" w:rsidR="00483E66" w:rsidRPr="00DA09E0" w:rsidRDefault="00620711" w:rsidP="00483E66">
      <w:pPr>
        <w:pStyle w:val="ListParagraph"/>
        <w:numPr>
          <w:ilvl w:val="0"/>
          <w:numId w:val="39"/>
        </w:numPr>
        <w:jc w:val="both"/>
      </w:pPr>
      <w:r w:rsidRPr="00DA09E0">
        <w:t>Improperly accepted $22,450.00</w:t>
      </w:r>
      <w:r>
        <w:t xml:space="preserve"> (aggregate total accepted above limits)</w:t>
      </w:r>
      <w:r w:rsidRPr="00DA09E0">
        <w:t xml:space="preserve"> in campaign contributions which exceed maximum campaign contribution</w:t>
      </w:r>
      <w:r w:rsidR="0028776E">
        <w:t xml:space="preserve"> limits</w:t>
      </w:r>
      <w:r w:rsidRPr="00DA09E0">
        <w:t xml:space="preserve">. </w:t>
      </w:r>
    </w:p>
    <w:p w14:paraId="3F3F6F5A" w14:textId="77777777" w:rsidR="009E01FA" w:rsidRPr="003B436E" w:rsidRDefault="009E01FA" w:rsidP="004834DE">
      <w:pPr>
        <w:pStyle w:val="Standard"/>
        <w:jc w:val="center"/>
        <w:rPr>
          <w:rFonts w:cs="Times New Roman"/>
          <w:b/>
          <w:bCs/>
          <w:highlight w:val="yellow"/>
          <w:u w:val="single"/>
        </w:rPr>
      </w:pPr>
    </w:p>
    <w:p w14:paraId="7F9FB764" w14:textId="77777777" w:rsidR="00D16190" w:rsidRPr="00DA09E0" w:rsidRDefault="00FB3A6B" w:rsidP="004834DE">
      <w:pPr>
        <w:pStyle w:val="Standard"/>
        <w:jc w:val="center"/>
        <w:rPr>
          <w:rFonts w:cs="Times New Roman"/>
          <w:b/>
          <w:bCs/>
          <w:u w:val="single"/>
        </w:rPr>
      </w:pPr>
      <w:r w:rsidRPr="00DA09E0">
        <w:rPr>
          <w:rFonts w:cs="Times New Roman"/>
          <w:b/>
          <w:bCs/>
          <w:u w:val="single"/>
        </w:rPr>
        <w:t>CONCLUSIONS OF LAW</w:t>
      </w:r>
    </w:p>
    <w:p w14:paraId="2D4B8684" w14:textId="77777777" w:rsidR="00E030E2" w:rsidRPr="00DA09E0" w:rsidRDefault="00E030E2" w:rsidP="00E030E2">
      <w:pPr>
        <w:jc w:val="both"/>
        <w:rPr>
          <w:rFonts w:cs="Times New Roman"/>
        </w:rPr>
      </w:pPr>
    </w:p>
    <w:p w14:paraId="4574544A" w14:textId="77777777" w:rsidR="00E030E2" w:rsidRPr="00DA09E0" w:rsidRDefault="00E030E2" w:rsidP="00E030E2">
      <w:pPr>
        <w:jc w:val="both"/>
        <w:rPr>
          <w:rFonts w:cs="Times New Roman"/>
        </w:rPr>
      </w:pPr>
      <w:r w:rsidRPr="00DA09E0">
        <w:rPr>
          <w:rFonts w:cs="Times New Roman"/>
        </w:rPr>
        <w:t>The Commission finds that Respondent violated the Georgia Government Transparency and Campaign Finance Act in that Respondent:</w:t>
      </w:r>
    </w:p>
    <w:p w14:paraId="1AD268A9" w14:textId="77777777" w:rsidR="00E030E2" w:rsidRPr="00DA09E0" w:rsidRDefault="00E030E2" w:rsidP="00E030E2">
      <w:pPr>
        <w:jc w:val="both"/>
        <w:rPr>
          <w:rFonts w:cs="Times New Roman"/>
        </w:rPr>
      </w:pPr>
    </w:p>
    <w:p w14:paraId="14F69A92" w14:textId="77700F69" w:rsidR="001A0A49" w:rsidRPr="00DA09E0" w:rsidRDefault="001A0A49" w:rsidP="00620711">
      <w:pPr>
        <w:pStyle w:val="ListParagraph"/>
        <w:numPr>
          <w:ilvl w:val="0"/>
          <w:numId w:val="41"/>
        </w:numPr>
        <w:jc w:val="both"/>
      </w:pPr>
      <w:r w:rsidRPr="00DA09E0">
        <w:t xml:space="preserve">Improperly </w:t>
      </w:r>
      <w:r w:rsidR="00DA09E0" w:rsidRPr="00DA09E0">
        <w:t>accepted $58,300.00 in campaign contributions which exceeded maximum campaign contribution limits when Respondent failed to elect separate accounting as permitted by O.C.G.A. § 21-5-43(a),</w:t>
      </w:r>
      <w:r w:rsidRPr="00DA09E0">
        <w:t xml:space="preserve"> </w:t>
      </w:r>
      <w:r w:rsidR="00DA09E0" w:rsidRPr="00DA09E0">
        <w:t>a</w:t>
      </w:r>
      <w:r w:rsidRPr="00DA09E0">
        <w:t xml:space="preserve"> violation of O.C.G.A. §§ 21-5-</w:t>
      </w:r>
      <w:r w:rsidR="00DA09E0" w:rsidRPr="00DA09E0">
        <w:t>41</w:t>
      </w:r>
      <w:r w:rsidRPr="00DA09E0">
        <w:t>(</w:t>
      </w:r>
      <w:r w:rsidR="00DA09E0" w:rsidRPr="00DA09E0">
        <w:t>b</w:t>
      </w:r>
      <w:r w:rsidRPr="00DA09E0">
        <w:t>) and 21-5-</w:t>
      </w:r>
      <w:r w:rsidR="00DA09E0" w:rsidRPr="00DA09E0">
        <w:t>43</w:t>
      </w:r>
      <w:r w:rsidRPr="00DA09E0">
        <w:t>(</w:t>
      </w:r>
      <w:r w:rsidR="00DA09E0" w:rsidRPr="00DA09E0">
        <w:t>a</w:t>
      </w:r>
      <w:r w:rsidRPr="00DA09E0">
        <w:t>).</w:t>
      </w:r>
    </w:p>
    <w:p w14:paraId="2B0BDC19" w14:textId="7636E62C" w:rsidR="001A0A49" w:rsidRPr="00DA09E0" w:rsidRDefault="001A0A49" w:rsidP="00620711">
      <w:pPr>
        <w:pStyle w:val="ListParagraph"/>
        <w:numPr>
          <w:ilvl w:val="0"/>
          <w:numId w:val="41"/>
        </w:numPr>
        <w:jc w:val="both"/>
      </w:pPr>
      <w:r w:rsidRPr="00DA09E0">
        <w:t xml:space="preserve">Improperly </w:t>
      </w:r>
      <w:r w:rsidR="00DA09E0" w:rsidRPr="00DA09E0">
        <w:t>accepted $22,450.00 in campaign contributions which exceed maximum campaign contribution</w:t>
      </w:r>
      <w:r w:rsidR="00620711">
        <w:t xml:space="preserve"> limits</w:t>
      </w:r>
      <w:r w:rsidR="00DA09E0" w:rsidRPr="00DA09E0">
        <w:t xml:space="preserve">, a violation of O.C.G.A. § 21-5-41(b). </w:t>
      </w:r>
    </w:p>
    <w:p w14:paraId="0107781D" w14:textId="77777777" w:rsidR="000F190F" w:rsidRPr="003B436E" w:rsidRDefault="000F190F" w:rsidP="004834DE">
      <w:pPr>
        <w:pStyle w:val="Standard"/>
        <w:jc w:val="center"/>
        <w:rPr>
          <w:rFonts w:cs="Times New Roman"/>
          <w:b/>
          <w:bCs/>
          <w:highlight w:val="yellow"/>
          <w:u w:val="single"/>
        </w:rPr>
      </w:pPr>
    </w:p>
    <w:p w14:paraId="16979986" w14:textId="77777777" w:rsidR="00D16190" w:rsidRPr="0039007F" w:rsidRDefault="00836B87" w:rsidP="004834DE">
      <w:pPr>
        <w:pStyle w:val="Standard"/>
        <w:jc w:val="center"/>
        <w:rPr>
          <w:rFonts w:cs="Times New Roman"/>
        </w:rPr>
      </w:pPr>
      <w:r w:rsidRPr="0039007F">
        <w:rPr>
          <w:rFonts w:cs="Times New Roman"/>
          <w:b/>
          <w:bCs/>
          <w:u w:val="single"/>
        </w:rPr>
        <w:t>HOLDING</w:t>
      </w:r>
    </w:p>
    <w:p w14:paraId="50E96ADE" w14:textId="77777777" w:rsidR="00D16190" w:rsidRPr="0039007F" w:rsidRDefault="00D16190" w:rsidP="004834DE">
      <w:pPr>
        <w:pStyle w:val="Standard"/>
        <w:jc w:val="both"/>
        <w:rPr>
          <w:rFonts w:cs="Times New Roman"/>
          <w:bCs/>
        </w:rPr>
      </w:pPr>
    </w:p>
    <w:p w14:paraId="25B5AD0A" w14:textId="77777777" w:rsidR="00E96C26" w:rsidRPr="0039007F" w:rsidRDefault="00E96C26" w:rsidP="00462705">
      <w:pPr>
        <w:pStyle w:val="Default"/>
        <w:jc w:val="both"/>
        <w:rPr>
          <w:rFonts w:ascii="Times New Roman" w:hAnsi="Times New Roman" w:cs="Times New Roman"/>
        </w:rPr>
      </w:pPr>
      <w:r w:rsidRPr="0039007F">
        <w:rPr>
          <w:rFonts w:ascii="Times New Roman" w:hAnsi="Times New Roman" w:cs="Times New Roman"/>
        </w:rPr>
        <w:t>In resolving this matter, Respondent</w:t>
      </w:r>
      <w:r w:rsidR="00520799" w:rsidRPr="0039007F">
        <w:rPr>
          <w:rFonts w:ascii="Times New Roman" w:hAnsi="Times New Roman" w:cs="Times New Roman"/>
        </w:rPr>
        <w:t xml:space="preserve"> hereby agrees to the following:</w:t>
      </w:r>
    </w:p>
    <w:p w14:paraId="45BC2775" w14:textId="77777777" w:rsidR="00E96C26" w:rsidRPr="0039007F" w:rsidRDefault="00E96C26" w:rsidP="00462705">
      <w:pPr>
        <w:pStyle w:val="Default"/>
        <w:jc w:val="both"/>
        <w:rPr>
          <w:rFonts w:ascii="Times New Roman" w:hAnsi="Times New Roman" w:cs="Times New Roman"/>
        </w:rPr>
      </w:pPr>
    </w:p>
    <w:p w14:paraId="5E4290A3" w14:textId="0C0AFB99" w:rsidR="00BB70BD" w:rsidRPr="0039007F" w:rsidRDefault="001376F2" w:rsidP="00501D8D">
      <w:pPr>
        <w:pStyle w:val="Standard"/>
        <w:jc w:val="both"/>
        <w:rPr>
          <w:rFonts w:cs="Times New Roman"/>
        </w:rPr>
      </w:pPr>
      <w:r w:rsidRPr="0039007F">
        <w:rPr>
          <w:rFonts w:cs="Times New Roman"/>
        </w:rPr>
        <w:t>Respondent will pay a $</w:t>
      </w:r>
      <w:r w:rsidR="0039007F" w:rsidRPr="0039007F">
        <w:rPr>
          <w:rFonts w:cs="Times New Roman"/>
        </w:rPr>
        <w:t>27,000</w:t>
      </w:r>
      <w:r w:rsidR="00462705" w:rsidRPr="0039007F">
        <w:rPr>
          <w:rFonts w:cs="Times New Roman"/>
        </w:rPr>
        <w:t>.00</w:t>
      </w:r>
      <w:r w:rsidRPr="0039007F">
        <w:rPr>
          <w:rFonts w:cs="Times New Roman"/>
        </w:rPr>
        <w:t xml:space="preserve"> civil penalty</w:t>
      </w:r>
      <w:r w:rsidR="00771E56" w:rsidRPr="0039007F">
        <w:rPr>
          <w:rFonts w:cs="Times New Roman"/>
        </w:rPr>
        <w:t xml:space="preserve"> to the Commission</w:t>
      </w:r>
      <w:r w:rsidRPr="0039007F">
        <w:rPr>
          <w:rFonts w:cs="Times New Roman"/>
        </w:rPr>
        <w:t xml:space="preserve"> fo</w:t>
      </w:r>
      <w:r w:rsidR="00896C1C" w:rsidRPr="0039007F">
        <w:rPr>
          <w:rFonts w:cs="Times New Roman"/>
        </w:rPr>
        <w:t>r</w:t>
      </w:r>
      <w:r w:rsidR="005F2F66" w:rsidRPr="0039007F">
        <w:rPr>
          <w:rFonts w:cs="Times New Roman"/>
        </w:rPr>
        <w:t xml:space="preserve"> violation O.C.G.A. </w:t>
      </w:r>
      <w:r w:rsidR="0039007F" w:rsidRPr="0039007F">
        <w:rPr>
          <w:rFonts w:cs="Times New Roman"/>
        </w:rPr>
        <w:t>§</w:t>
      </w:r>
      <w:r w:rsidR="005F2F66" w:rsidRPr="0039007F">
        <w:rPr>
          <w:rFonts w:cs="Times New Roman"/>
        </w:rPr>
        <w:t>§ 21</w:t>
      </w:r>
      <w:r w:rsidR="0039007F" w:rsidRPr="0039007F">
        <w:rPr>
          <w:rFonts w:cs="Times New Roman"/>
        </w:rPr>
        <w:noBreakHyphen/>
      </w:r>
      <w:r w:rsidR="005F2F66" w:rsidRPr="0039007F">
        <w:rPr>
          <w:rFonts w:cs="Times New Roman"/>
        </w:rPr>
        <w:t>5</w:t>
      </w:r>
      <w:r w:rsidR="0039007F" w:rsidRPr="0039007F">
        <w:rPr>
          <w:rFonts w:cs="Times New Roman"/>
        </w:rPr>
        <w:noBreakHyphen/>
        <w:t>41</w:t>
      </w:r>
      <w:r w:rsidR="00DA09E0">
        <w:rPr>
          <w:rFonts w:cs="Times New Roman"/>
        </w:rPr>
        <w:t>(b)</w:t>
      </w:r>
      <w:r w:rsidR="0039007F" w:rsidRPr="0039007F">
        <w:rPr>
          <w:rFonts w:cs="Times New Roman"/>
        </w:rPr>
        <w:t xml:space="preserve"> and 21-5-43</w:t>
      </w:r>
      <w:r w:rsidR="00DA09E0">
        <w:rPr>
          <w:rFonts w:cs="Times New Roman"/>
        </w:rPr>
        <w:t>(a)</w:t>
      </w:r>
      <w:r w:rsidR="00BB70BD" w:rsidRPr="0039007F">
        <w:rPr>
          <w:rFonts w:cs="Times New Roman"/>
        </w:rPr>
        <w:t xml:space="preserve"> by </w:t>
      </w:r>
      <w:r w:rsidR="0039007F" w:rsidRPr="0039007F">
        <w:rPr>
          <w:rFonts w:cs="Times New Roman"/>
        </w:rPr>
        <w:t>exceeding maximum campaign contribution limits as detailed</w:t>
      </w:r>
      <w:r w:rsidR="00BB70BD" w:rsidRPr="0039007F">
        <w:rPr>
          <w:rFonts w:cs="Times New Roman"/>
        </w:rPr>
        <w:t xml:space="preserve"> </w:t>
      </w:r>
      <w:r w:rsidR="00BB70BD" w:rsidRPr="0039007F">
        <w:rPr>
          <w:rFonts w:cs="Times New Roman"/>
          <w:i/>
        </w:rPr>
        <w:t>supra</w:t>
      </w:r>
      <w:r w:rsidR="00BB70BD" w:rsidRPr="0039007F">
        <w:rPr>
          <w:rFonts w:cs="Times New Roman"/>
        </w:rPr>
        <w:t>.</w:t>
      </w:r>
    </w:p>
    <w:p w14:paraId="5C28EF5B" w14:textId="6020DA8F" w:rsidR="00E030E2" w:rsidRPr="003B436E" w:rsidRDefault="00E030E2" w:rsidP="00E030E2">
      <w:pPr>
        <w:pStyle w:val="Standard"/>
        <w:jc w:val="both"/>
        <w:rPr>
          <w:rFonts w:cs="Times New Roman"/>
          <w:highlight w:val="yellow"/>
        </w:rPr>
      </w:pPr>
    </w:p>
    <w:p w14:paraId="29735CA3" w14:textId="300DD93B" w:rsidR="00E030E2" w:rsidRDefault="00E030E2" w:rsidP="00E030E2">
      <w:pPr>
        <w:pStyle w:val="Default"/>
        <w:jc w:val="both"/>
        <w:rPr>
          <w:rFonts w:ascii="Times New Roman" w:hAnsi="Times New Roman" w:cs="Times New Roman"/>
        </w:rPr>
      </w:pPr>
      <w:r w:rsidRPr="0039007F">
        <w:rPr>
          <w:rFonts w:ascii="Times New Roman" w:hAnsi="Times New Roman" w:cs="Times New Roman"/>
        </w:rPr>
        <w:t xml:space="preserve">Respondent further agrees to pay </w:t>
      </w:r>
      <w:r w:rsidR="0039007F" w:rsidRPr="0039007F">
        <w:rPr>
          <w:rFonts w:ascii="Times New Roman" w:hAnsi="Times New Roman" w:cs="Times New Roman"/>
        </w:rPr>
        <w:t xml:space="preserve">all </w:t>
      </w:r>
      <w:r w:rsidRPr="0039007F">
        <w:rPr>
          <w:rFonts w:ascii="Times New Roman" w:hAnsi="Times New Roman" w:cs="Times New Roman"/>
        </w:rPr>
        <w:t xml:space="preserve">civil penalties detailed </w:t>
      </w:r>
      <w:r w:rsidRPr="0039007F">
        <w:rPr>
          <w:rFonts w:ascii="Times New Roman" w:hAnsi="Times New Roman" w:cs="Times New Roman"/>
          <w:i/>
        </w:rPr>
        <w:t>supra</w:t>
      </w:r>
      <w:r w:rsidRPr="0039007F">
        <w:rPr>
          <w:rFonts w:ascii="Times New Roman" w:hAnsi="Times New Roman" w:cs="Times New Roman"/>
        </w:rPr>
        <w:t xml:space="preserve"> to the Commission within thirty days (30) from the date of this Order.</w:t>
      </w:r>
    </w:p>
    <w:p w14:paraId="1E5367B4" w14:textId="00BE31DF" w:rsidR="00DA09E0" w:rsidRDefault="00DA09E0" w:rsidP="00E030E2">
      <w:pPr>
        <w:pStyle w:val="Default"/>
        <w:jc w:val="both"/>
        <w:rPr>
          <w:rFonts w:ascii="Times New Roman" w:hAnsi="Times New Roman" w:cs="Times New Roman"/>
        </w:rPr>
      </w:pPr>
    </w:p>
    <w:p w14:paraId="60C7B83D" w14:textId="59EAB5A6" w:rsidR="00DA09E0" w:rsidRPr="00030B02" w:rsidRDefault="00DA09E0" w:rsidP="00DA09E0">
      <w:pPr>
        <w:pStyle w:val="Standard"/>
        <w:jc w:val="both"/>
        <w:rPr>
          <w:rFonts w:cs="Times New Roman"/>
          <w:sz w:val="23"/>
          <w:szCs w:val="23"/>
        </w:rPr>
      </w:pPr>
      <w:r w:rsidRPr="00030B02">
        <w:rPr>
          <w:rFonts w:cs="Times New Roman"/>
          <w:sz w:val="23"/>
          <w:szCs w:val="23"/>
        </w:rPr>
        <w:t>Any and all other allegations raised against Respondent</w:t>
      </w:r>
      <w:r>
        <w:rPr>
          <w:rFonts w:cs="Times New Roman"/>
          <w:sz w:val="23"/>
          <w:szCs w:val="23"/>
        </w:rPr>
        <w:t xml:space="preserve"> by Complainant</w:t>
      </w:r>
      <w:r w:rsidRPr="00030B02">
        <w:rPr>
          <w:rFonts w:cs="Times New Roman"/>
          <w:sz w:val="23"/>
          <w:szCs w:val="23"/>
        </w:rPr>
        <w:t xml:space="preserve"> are deemed to be </w:t>
      </w:r>
      <w:r>
        <w:rPr>
          <w:rFonts w:cs="Times New Roman"/>
          <w:sz w:val="23"/>
          <w:szCs w:val="23"/>
        </w:rPr>
        <w:t>unactionable</w:t>
      </w:r>
      <w:r w:rsidRPr="00030B02">
        <w:rPr>
          <w:rFonts w:cs="Times New Roman"/>
          <w:sz w:val="23"/>
          <w:szCs w:val="23"/>
        </w:rPr>
        <w:t xml:space="preserve"> or </w:t>
      </w:r>
      <w:r>
        <w:rPr>
          <w:rFonts w:cs="Times New Roman"/>
          <w:sz w:val="23"/>
          <w:szCs w:val="23"/>
        </w:rPr>
        <w:t>unfounded</w:t>
      </w:r>
      <w:r w:rsidRPr="00030B02">
        <w:rPr>
          <w:rFonts w:cs="Times New Roman"/>
          <w:sz w:val="23"/>
          <w:szCs w:val="23"/>
        </w:rPr>
        <w:t xml:space="preserve"> </w:t>
      </w:r>
      <w:r>
        <w:rPr>
          <w:rFonts w:cs="Times New Roman"/>
          <w:sz w:val="23"/>
          <w:szCs w:val="23"/>
        </w:rPr>
        <w:t xml:space="preserve">or otherwise permissible </w:t>
      </w:r>
      <w:r w:rsidRPr="00030B02">
        <w:rPr>
          <w:rFonts w:cs="Times New Roman"/>
          <w:sz w:val="23"/>
          <w:szCs w:val="23"/>
        </w:rPr>
        <w:t>under the Georgia Government Transparency and Campaign Finance Act.</w:t>
      </w:r>
    </w:p>
    <w:p w14:paraId="77768A33" w14:textId="77777777" w:rsidR="00625147" w:rsidRPr="003B436E" w:rsidRDefault="00625147" w:rsidP="00462705">
      <w:pPr>
        <w:pStyle w:val="Standard"/>
        <w:jc w:val="both"/>
        <w:rPr>
          <w:rFonts w:cs="Times New Roman"/>
          <w:highlight w:val="yellow"/>
        </w:rPr>
      </w:pPr>
    </w:p>
    <w:p w14:paraId="19A0ADDB" w14:textId="0F185A77" w:rsidR="00625147" w:rsidRPr="003B436E" w:rsidRDefault="00FB3A6B" w:rsidP="00462705">
      <w:pPr>
        <w:pStyle w:val="Standard"/>
        <w:jc w:val="both"/>
        <w:rPr>
          <w:rFonts w:cs="Times New Roman"/>
        </w:rPr>
      </w:pPr>
      <w:r w:rsidRPr="003B436E">
        <w:rPr>
          <w:rFonts w:cs="Times New Roman"/>
        </w:rPr>
        <w:t>Respondent represents that the foregoing findings of facts are true, agrees with the conclusions of law, and further agrees to abide by all terms of this Order.  By signing this Order, Respondent waives any right to appeal pursuant to the procedures outlined in the Administrative Procedure Act (APA)</w:t>
      </w:r>
      <w:r w:rsidR="003B436E" w:rsidRPr="003B436E">
        <w:rPr>
          <w:rFonts w:cs="Times New Roman"/>
        </w:rPr>
        <w:t xml:space="preserve"> as provided by</w:t>
      </w:r>
      <w:r w:rsidRPr="003B436E">
        <w:rPr>
          <w:rFonts w:cs="Times New Roman"/>
        </w:rPr>
        <w:t xml:space="preserve"> O.C.G.A. § 50-13</w:t>
      </w:r>
      <w:r w:rsidR="003D1174" w:rsidRPr="003B436E">
        <w:rPr>
          <w:rFonts w:cs="Times New Roman"/>
        </w:rPr>
        <w:t>-1</w:t>
      </w:r>
      <w:r w:rsidRPr="003B436E">
        <w:rPr>
          <w:rFonts w:cs="Times New Roman"/>
        </w:rPr>
        <w:t xml:space="preserve"> </w:t>
      </w:r>
      <w:r w:rsidRPr="003B436E">
        <w:rPr>
          <w:rFonts w:cs="Times New Roman"/>
          <w:i/>
          <w:iCs/>
        </w:rPr>
        <w:t>et. seq</w:t>
      </w:r>
      <w:r w:rsidRPr="003B436E">
        <w:rPr>
          <w:rFonts w:cs="Times New Roman"/>
        </w:rPr>
        <w:t xml:space="preserve">.  </w:t>
      </w:r>
    </w:p>
    <w:p w14:paraId="443A709E" w14:textId="77777777" w:rsidR="00625147" w:rsidRPr="003B436E" w:rsidRDefault="00625147" w:rsidP="00462705">
      <w:pPr>
        <w:pStyle w:val="Standard"/>
        <w:jc w:val="both"/>
        <w:rPr>
          <w:rFonts w:cs="Times New Roman"/>
          <w:highlight w:val="yellow"/>
        </w:rPr>
      </w:pPr>
    </w:p>
    <w:p w14:paraId="10FF30DF" w14:textId="77777777" w:rsidR="00463FFA" w:rsidRPr="003B436E" w:rsidRDefault="00463FFA" w:rsidP="00463FFA">
      <w:pPr>
        <w:pStyle w:val="Standard"/>
        <w:jc w:val="both"/>
        <w:rPr>
          <w:rFonts w:cs="Times New Roman"/>
        </w:rPr>
      </w:pPr>
      <w:r w:rsidRPr="003B436E">
        <w:rPr>
          <w:rFonts w:cs="Times New Roman"/>
        </w:rPr>
        <w:t>Failure to comply with the terms herein, absent a showing of good faith, will constitute a willful and knowing violation of said terms by Respondent.  Respondent's failure to comply with said terms shall constitute a breach of this agreement and thereby authorize the Commission to seek enforcement and/or collection of this order by subsequent contempt or other proceedings against the Respondent in the Superior Court for the State of Georgia.  The parties agree that all costs and attorneys' fees incurred by the Commission in any enforcement action shall be assessed against Respondent pursuant to O.C.G.A. § 21-5-6(b)(14)(C)(iv).</w:t>
      </w:r>
    </w:p>
    <w:p w14:paraId="29029BD4" w14:textId="77777777" w:rsidR="009E01FA" w:rsidRPr="003B436E" w:rsidRDefault="009E01FA" w:rsidP="00462705">
      <w:pPr>
        <w:pStyle w:val="Standard"/>
        <w:jc w:val="both"/>
        <w:rPr>
          <w:rFonts w:cs="Times New Roman"/>
        </w:rPr>
      </w:pPr>
    </w:p>
    <w:p w14:paraId="6420CC0F" w14:textId="77777777" w:rsidR="00625147" w:rsidRPr="003B436E" w:rsidRDefault="00FB3A6B" w:rsidP="00462705">
      <w:pPr>
        <w:pStyle w:val="Standard"/>
        <w:jc w:val="both"/>
        <w:rPr>
          <w:rFonts w:cs="Times New Roman"/>
        </w:rPr>
      </w:pPr>
      <w:r w:rsidRPr="003B436E">
        <w:rPr>
          <w:rFonts w:cs="Times New Roman"/>
        </w:rPr>
        <w:t>The Commission adopts the foregoing findings of fact and conclusions of law and orders the implementation</w:t>
      </w:r>
      <w:r w:rsidR="00D64AF8" w:rsidRPr="003B436E">
        <w:rPr>
          <w:rFonts w:cs="Times New Roman"/>
        </w:rPr>
        <w:t xml:space="preserve"> of the terms of this Consent</w:t>
      </w:r>
      <w:r w:rsidRPr="003B436E">
        <w:rPr>
          <w:rFonts w:cs="Times New Roman"/>
        </w:rPr>
        <w:t xml:space="preserve"> Order.  </w:t>
      </w:r>
    </w:p>
    <w:p w14:paraId="5941568E" w14:textId="77777777" w:rsidR="001A5341" w:rsidRPr="003B436E" w:rsidRDefault="001A5341" w:rsidP="004834DE">
      <w:pPr>
        <w:pStyle w:val="Standard"/>
        <w:jc w:val="both"/>
        <w:rPr>
          <w:rFonts w:cs="Times New Roman"/>
          <w:b/>
          <w:bCs/>
          <w:highlight w:val="yellow"/>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5368"/>
      </w:tblGrid>
      <w:tr w:rsidR="004834DE" w:rsidRPr="003B436E" w14:paraId="2D07F346" w14:textId="77777777" w:rsidTr="004834DE">
        <w:tc>
          <w:tcPr>
            <w:tcW w:w="5090" w:type="dxa"/>
          </w:tcPr>
          <w:p w14:paraId="2F6BF9ED" w14:textId="4612DF7F" w:rsidR="004834DE" w:rsidRPr="003B436E" w:rsidRDefault="004834DE" w:rsidP="004834DE">
            <w:pPr>
              <w:pStyle w:val="Standard"/>
              <w:jc w:val="both"/>
              <w:rPr>
                <w:rFonts w:cs="Times New Roman"/>
                <w:bCs/>
                <w:highlight w:val="yellow"/>
                <w:u w:val="single"/>
              </w:rPr>
            </w:pPr>
          </w:p>
        </w:tc>
        <w:tc>
          <w:tcPr>
            <w:tcW w:w="5368" w:type="dxa"/>
          </w:tcPr>
          <w:p w14:paraId="66791FF3" w14:textId="77777777" w:rsidR="004834DE" w:rsidRPr="003B436E" w:rsidRDefault="004834DE" w:rsidP="004834DE">
            <w:pPr>
              <w:pStyle w:val="Standard"/>
              <w:ind w:left="130"/>
              <w:jc w:val="both"/>
              <w:rPr>
                <w:rFonts w:cs="Times New Roman"/>
                <w:b/>
                <w:bCs/>
                <w:u w:val="single"/>
              </w:rPr>
            </w:pPr>
            <w:r w:rsidRPr="003B436E">
              <w:rPr>
                <w:rFonts w:cs="Times New Roman"/>
                <w:b/>
                <w:bCs/>
                <w:u w:val="single"/>
              </w:rPr>
              <w:tab/>
            </w:r>
            <w:r w:rsidRPr="003B436E">
              <w:rPr>
                <w:rFonts w:cs="Times New Roman"/>
                <w:b/>
                <w:bCs/>
                <w:u w:val="single"/>
              </w:rPr>
              <w:tab/>
            </w:r>
            <w:r w:rsidRPr="003B436E">
              <w:rPr>
                <w:rFonts w:cs="Times New Roman"/>
                <w:b/>
                <w:bCs/>
                <w:u w:val="single"/>
              </w:rPr>
              <w:tab/>
            </w:r>
            <w:r w:rsidRPr="003B436E">
              <w:rPr>
                <w:rFonts w:cs="Times New Roman"/>
                <w:b/>
                <w:bCs/>
                <w:u w:val="single"/>
              </w:rPr>
              <w:tab/>
            </w:r>
            <w:r w:rsidRPr="003B436E">
              <w:rPr>
                <w:rFonts w:cs="Times New Roman"/>
                <w:b/>
                <w:bCs/>
                <w:u w:val="single"/>
              </w:rPr>
              <w:tab/>
            </w:r>
            <w:r w:rsidRPr="003B436E">
              <w:rPr>
                <w:rFonts w:cs="Times New Roman"/>
                <w:b/>
                <w:bCs/>
                <w:u w:val="single"/>
              </w:rPr>
              <w:tab/>
            </w:r>
            <w:r w:rsidRPr="003B436E">
              <w:rPr>
                <w:rFonts w:cs="Times New Roman"/>
                <w:b/>
                <w:bCs/>
                <w:u w:val="single"/>
              </w:rPr>
              <w:tab/>
            </w:r>
          </w:p>
          <w:p w14:paraId="4FCBAA55" w14:textId="2A7AC691" w:rsidR="004834DE" w:rsidRPr="003B436E" w:rsidRDefault="00E526BD" w:rsidP="004834DE">
            <w:pPr>
              <w:pStyle w:val="Standard"/>
              <w:ind w:left="130"/>
              <w:jc w:val="both"/>
              <w:rPr>
                <w:rFonts w:cs="Times New Roman"/>
                <w:bCs/>
              </w:rPr>
            </w:pPr>
            <w:r w:rsidRPr="003B436E">
              <w:rPr>
                <w:rFonts w:cs="Times New Roman"/>
                <w:bCs/>
              </w:rPr>
              <w:t>Mary Norwood</w:t>
            </w:r>
          </w:p>
          <w:p w14:paraId="53525EC9" w14:textId="77777777" w:rsidR="00B82C14" w:rsidRPr="003B436E" w:rsidRDefault="00B82C14" w:rsidP="004834DE">
            <w:pPr>
              <w:pStyle w:val="Standard"/>
              <w:ind w:left="130"/>
              <w:jc w:val="both"/>
              <w:rPr>
                <w:rFonts w:cs="Times New Roman"/>
                <w:bCs/>
              </w:rPr>
            </w:pPr>
            <w:r w:rsidRPr="003B436E">
              <w:rPr>
                <w:rFonts w:cs="Times New Roman"/>
                <w:bCs/>
              </w:rPr>
              <w:t>Respondent</w:t>
            </w:r>
          </w:p>
          <w:p w14:paraId="1A0B320B" w14:textId="77777777" w:rsidR="003A581A" w:rsidRPr="003B436E" w:rsidRDefault="003A581A" w:rsidP="004834DE">
            <w:pPr>
              <w:pStyle w:val="Standard"/>
              <w:ind w:left="130"/>
              <w:jc w:val="both"/>
              <w:rPr>
                <w:rFonts w:cs="Times New Roman"/>
                <w:bCs/>
                <w:highlight w:val="yellow"/>
              </w:rPr>
            </w:pPr>
          </w:p>
          <w:p w14:paraId="3A8B8E7D" w14:textId="277F4186" w:rsidR="009E01FA" w:rsidRDefault="009E01FA" w:rsidP="004834DE">
            <w:pPr>
              <w:pStyle w:val="Standard"/>
              <w:pBdr>
                <w:bottom w:val="single" w:sz="12" w:space="1" w:color="auto"/>
              </w:pBdr>
              <w:ind w:left="130"/>
              <w:jc w:val="both"/>
              <w:rPr>
                <w:rFonts w:cs="Times New Roman"/>
                <w:bCs/>
                <w:highlight w:val="yellow"/>
              </w:rPr>
            </w:pPr>
          </w:p>
          <w:p w14:paraId="58018154" w14:textId="77777777" w:rsidR="0028776E" w:rsidRPr="003B436E" w:rsidRDefault="0028776E" w:rsidP="004834DE">
            <w:pPr>
              <w:pStyle w:val="Standard"/>
              <w:pBdr>
                <w:bottom w:val="single" w:sz="12" w:space="1" w:color="auto"/>
              </w:pBdr>
              <w:ind w:left="130"/>
              <w:jc w:val="both"/>
              <w:rPr>
                <w:rFonts w:cs="Times New Roman"/>
                <w:bCs/>
                <w:highlight w:val="yellow"/>
              </w:rPr>
            </w:pPr>
          </w:p>
          <w:p w14:paraId="16E6179F" w14:textId="245AEE79" w:rsidR="009E01FA" w:rsidRPr="003B436E" w:rsidRDefault="00134F82" w:rsidP="004834DE">
            <w:pPr>
              <w:pStyle w:val="Standard"/>
              <w:ind w:left="130"/>
              <w:jc w:val="both"/>
              <w:rPr>
                <w:rFonts w:cs="Times New Roman"/>
                <w:bCs/>
              </w:rPr>
            </w:pPr>
            <w:r w:rsidRPr="003B436E">
              <w:rPr>
                <w:rFonts w:cs="Times New Roman"/>
                <w:bCs/>
              </w:rPr>
              <w:t>Frank Strickland</w:t>
            </w:r>
            <w:r w:rsidR="009E01FA" w:rsidRPr="003B436E">
              <w:rPr>
                <w:rFonts w:cs="Times New Roman"/>
                <w:bCs/>
              </w:rPr>
              <w:t>, Esq.</w:t>
            </w:r>
          </w:p>
          <w:p w14:paraId="1424E9CF" w14:textId="6CDFFFFA" w:rsidR="009E01FA" w:rsidRPr="003B436E" w:rsidRDefault="009E01FA" w:rsidP="004834DE">
            <w:pPr>
              <w:pStyle w:val="Standard"/>
              <w:ind w:left="130"/>
              <w:jc w:val="both"/>
              <w:rPr>
                <w:rFonts w:cs="Times New Roman"/>
                <w:bCs/>
              </w:rPr>
            </w:pPr>
            <w:r w:rsidRPr="003B436E">
              <w:rPr>
                <w:rFonts w:cs="Times New Roman"/>
                <w:bCs/>
              </w:rPr>
              <w:t>Ga. State Bar No.:</w:t>
            </w:r>
            <w:r w:rsidR="00635D2F" w:rsidRPr="003B436E">
              <w:rPr>
                <w:rFonts w:cs="Times New Roman"/>
                <w:bCs/>
              </w:rPr>
              <w:t xml:space="preserve"> </w:t>
            </w:r>
            <w:r w:rsidR="003B436E" w:rsidRPr="003B436E">
              <w:rPr>
                <w:rFonts w:cs="Times New Roman"/>
                <w:bCs/>
              </w:rPr>
              <w:t>687600</w:t>
            </w:r>
          </w:p>
          <w:p w14:paraId="672A62C5" w14:textId="77777777" w:rsidR="009E01FA" w:rsidRPr="003B436E" w:rsidRDefault="009E01FA" w:rsidP="004834DE">
            <w:pPr>
              <w:pStyle w:val="Standard"/>
              <w:ind w:left="130"/>
              <w:jc w:val="both"/>
              <w:rPr>
                <w:rFonts w:cs="Times New Roman"/>
                <w:bCs/>
              </w:rPr>
            </w:pPr>
            <w:r w:rsidRPr="003B436E">
              <w:rPr>
                <w:rFonts w:cs="Times New Roman"/>
                <w:bCs/>
              </w:rPr>
              <w:t>Attorney for Respondent</w:t>
            </w:r>
          </w:p>
          <w:p w14:paraId="601BFEB9" w14:textId="77777777" w:rsidR="003A581A" w:rsidRPr="003B436E" w:rsidRDefault="003A581A" w:rsidP="00B56AF8">
            <w:pPr>
              <w:pStyle w:val="Standard"/>
              <w:ind w:left="130"/>
              <w:jc w:val="both"/>
              <w:rPr>
                <w:rFonts w:cs="Times New Roman"/>
                <w:bCs/>
                <w:highlight w:val="yellow"/>
              </w:rPr>
            </w:pPr>
          </w:p>
        </w:tc>
      </w:tr>
      <w:tr w:rsidR="001A575D" w:rsidRPr="003B436E" w14:paraId="33A483BE" w14:textId="77777777" w:rsidTr="004834DE">
        <w:tc>
          <w:tcPr>
            <w:tcW w:w="5090" w:type="dxa"/>
          </w:tcPr>
          <w:p w14:paraId="250C85C5" w14:textId="77777777" w:rsidR="00767E91" w:rsidRPr="003B436E" w:rsidRDefault="00767E91" w:rsidP="00767E91">
            <w:pPr>
              <w:pStyle w:val="Standard"/>
              <w:jc w:val="both"/>
              <w:rPr>
                <w:rFonts w:cs="Times New Roman"/>
                <w:bCs/>
              </w:rPr>
            </w:pPr>
            <w:r w:rsidRPr="003B436E">
              <w:rPr>
                <w:rFonts w:cs="Times New Roman"/>
                <w:bCs/>
              </w:rPr>
              <w:lastRenderedPageBreak/>
              <w:t>Order Prepared and Presented by:</w:t>
            </w:r>
          </w:p>
          <w:p w14:paraId="6C749907" w14:textId="77777777" w:rsidR="00767E91" w:rsidRPr="003B436E" w:rsidRDefault="00767E91" w:rsidP="00767E91">
            <w:pPr>
              <w:pStyle w:val="Standard"/>
              <w:jc w:val="both"/>
              <w:rPr>
                <w:rFonts w:cs="Times New Roman"/>
                <w:bCs/>
              </w:rPr>
            </w:pPr>
          </w:p>
          <w:p w14:paraId="501F7FCD" w14:textId="77777777" w:rsidR="00767E91" w:rsidRPr="003B436E" w:rsidRDefault="00767E91" w:rsidP="00767E91">
            <w:pPr>
              <w:pStyle w:val="Standard"/>
              <w:jc w:val="both"/>
              <w:rPr>
                <w:rFonts w:cs="Times New Roman"/>
                <w:bCs/>
              </w:rPr>
            </w:pPr>
            <w:r w:rsidRPr="003B436E">
              <w:rPr>
                <w:rFonts w:cs="Times New Roman"/>
                <w:bCs/>
              </w:rPr>
              <w:t>______________________________</w:t>
            </w:r>
          </w:p>
          <w:p w14:paraId="6376C8CB" w14:textId="77777777" w:rsidR="00767E91" w:rsidRPr="003B436E" w:rsidRDefault="00767E91" w:rsidP="00767E91">
            <w:pPr>
              <w:pStyle w:val="Standard"/>
              <w:jc w:val="both"/>
              <w:rPr>
                <w:rFonts w:cs="Times New Roman"/>
                <w:bCs/>
              </w:rPr>
            </w:pPr>
            <w:r w:rsidRPr="003B436E">
              <w:rPr>
                <w:rFonts w:cs="Times New Roman"/>
                <w:bCs/>
              </w:rPr>
              <w:t>Robert S. Lane</w:t>
            </w:r>
          </w:p>
          <w:p w14:paraId="68188442" w14:textId="77777777" w:rsidR="00767E91" w:rsidRPr="003B436E" w:rsidRDefault="00767E91" w:rsidP="00767E91">
            <w:pPr>
              <w:pStyle w:val="Standard"/>
              <w:jc w:val="both"/>
              <w:rPr>
                <w:rFonts w:cs="Times New Roman"/>
                <w:bCs/>
              </w:rPr>
            </w:pPr>
            <w:r w:rsidRPr="003B436E">
              <w:rPr>
                <w:rFonts w:cs="Times New Roman"/>
                <w:bCs/>
              </w:rPr>
              <w:t>Ga. State Bar No.: 178970</w:t>
            </w:r>
          </w:p>
          <w:p w14:paraId="0B3D347A" w14:textId="77777777" w:rsidR="00E526BD" w:rsidRPr="003B436E" w:rsidRDefault="00E526BD" w:rsidP="00E526BD">
            <w:pPr>
              <w:pStyle w:val="Standard"/>
              <w:jc w:val="both"/>
              <w:rPr>
                <w:rFonts w:cs="Times New Roman"/>
                <w:bCs/>
              </w:rPr>
            </w:pPr>
            <w:r w:rsidRPr="003B436E">
              <w:rPr>
                <w:rFonts w:cs="Times New Roman"/>
                <w:bCs/>
              </w:rPr>
              <w:t>Deputy Executive Secretary</w:t>
            </w:r>
          </w:p>
          <w:p w14:paraId="0F96BAE3" w14:textId="77777777" w:rsidR="006C00AA" w:rsidRPr="003B436E" w:rsidRDefault="006C00AA" w:rsidP="004834DE">
            <w:pPr>
              <w:pStyle w:val="Standard"/>
              <w:jc w:val="both"/>
              <w:rPr>
                <w:rFonts w:cs="Times New Roman"/>
                <w:bCs/>
              </w:rPr>
            </w:pPr>
          </w:p>
        </w:tc>
        <w:tc>
          <w:tcPr>
            <w:tcW w:w="5368" w:type="dxa"/>
          </w:tcPr>
          <w:p w14:paraId="248C40F4" w14:textId="77777777" w:rsidR="001A575D" w:rsidRPr="003B436E" w:rsidRDefault="001A575D" w:rsidP="004612F0">
            <w:pPr>
              <w:pStyle w:val="Standard"/>
              <w:rPr>
                <w:rFonts w:cs="Times New Roman"/>
                <w:bCs/>
              </w:rPr>
            </w:pPr>
          </w:p>
        </w:tc>
      </w:tr>
    </w:tbl>
    <w:p w14:paraId="495EE537" w14:textId="784F2569" w:rsidR="006C00AA" w:rsidRDefault="006C00AA" w:rsidP="001A575D">
      <w:pPr>
        <w:ind w:firstLine="709"/>
        <w:rPr>
          <w:rFonts w:cs="Times New Roman"/>
        </w:rPr>
      </w:pPr>
    </w:p>
    <w:p w14:paraId="0F5B1AB1" w14:textId="77777777" w:rsidR="003B436E" w:rsidRPr="003B436E" w:rsidRDefault="003B436E" w:rsidP="001A575D">
      <w:pPr>
        <w:ind w:firstLine="709"/>
        <w:rPr>
          <w:rFonts w:cs="Times New Roman"/>
        </w:rPr>
      </w:pPr>
    </w:p>
    <w:p w14:paraId="588C5CF9" w14:textId="653A1F7C" w:rsidR="0018625B" w:rsidRPr="003B436E" w:rsidRDefault="0018625B" w:rsidP="001A575D">
      <w:pPr>
        <w:ind w:firstLine="709"/>
        <w:rPr>
          <w:rFonts w:cs="Times New Roman"/>
        </w:rPr>
      </w:pPr>
      <w:r w:rsidRPr="003B436E">
        <w:rPr>
          <w:rFonts w:cs="Times New Roman"/>
        </w:rPr>
        <w:t xml:space="preserve">SO ORDERED this </w:t>
      </w:r>
      <w:r w:rsidR="001A575D" w:rsidRPr="003B436E">
        <w:rPr>
          <w:rFonts w:cs="Times New Roman"/>
          <w:u w:val="single"/>
        </w:rPr>
        <w:tab/>
      </w:r>
      <w:r w:rsidR="001A575D" w:rsidRPr="003B436E">
        <w:rPr>
          <w:rFonts w:cs="Times New Roman"/>
          <w:u w:val="single"/>
        </w:rPr>
        <w:tab/>
      </w:r>
      <w:r w:rsidR="001A575D" w:rsidRPr="003B436E">
        <w:rPr>
          <w:rFonts w:cs="Times New Roman"/>
          <w:u w:val="single"/>
        </w:rPr>
        <w:tab/>
      </w:r>
      <w:r w:rsidRPr="003B436E">
        <w:rPr>
          <w:rFonts w:cs="Times New Roman"/>
        </w:rPr>
        <w:t xml:space="preserve">day of </w:t>
      </w:r>
      <w:r w:rsidR="001A575D" w:rsidRPr="003B436E">
        <w:rPr>
          <w:rFonts w:cs="Times New Roman"/>
          <w:u w:val="single"/>
        </w:rPr>
        <w:tab/>
      </w:r>
      <w:r w:rsidR="001A575D" w:rsidRPr="003B436E">
        <w:rPr>
          <w:rFonts w:cs="Times New Roman"/>
          <w:u w:val="single"/>
        </w:rPr>
        <w:tab/>
      </w:r>
      <w:r w:rsidR="001A575D" w:rsidRPr="003B436E">
        <w:rPr>
          <w:rFonts w:cs="Times New Roman"/>
          <w:u w:val="single"/>
        </w:rPr>
        <w:tab/>
      </w:r>
      <w:r w:rsidR="001A575D" w:rsidRPr="003B436E">
        <w:rPr>
          <w:rFonts w:cs="Times New Roman"/>
          <w:u w:val="single"/>
        </w:rPr>
        <w:tab/>
      </w:r>
      <w:r w:rsidR="001A575D" w:rsidRPr="003B436E">
        <w:rPr>
          <w:rFonts w:cs="Times New Roman"/>
          <w:u w:val="single"/>
        </w:rPr>
        <w:tab/>
      </w:r>
      <w:r w:rsidR="003A581A" w:rsidRPr="003B436E">
        <w:rPr>
          <w:rFonts w:cs="Times New Roman"/>
        </w:rPr>
        <w:t>, 20</w:t>
      </w:r>
      <w:r w:rsidR="00134F82" w:rsidRPr="003B436E">
        <w:rPr>
          <w:rFonts w:cs="Times New Roman"/>
        </w:rPr>
        <w:t>20</w:t>
      </w:r>
      <w:r w:rsidRPr="003B436E">
        <w:rPr>
          <w:rFonts w:cs="Times New Roman"/>
        </w:rPr>
        <w:t>.</w:t>
      </w:r>
    </w:p>
    <w:p w14:paraId="1BD7AF2D" w14:textId="7CDD6EE0" w:rsidR="0018625B" w:rsidRDefault="0018625B" w:rsidP="004834DE">
      <w:pPr>
        <w:rPr>
          <w:rFonts w:cs="Times New Roman"/>
        </w:rPr>
      </w:pPr>
    </w:p>
    <w:p w14:paraId="55F377FE" w14:textId="77777777" w:rsidR="003B436E" w:rsidRPr="003B436E" w:rsidRDefault="003B436E" w:rsidP="004834DE">
      <w:pPr>
        <w:rPr>
          <w:rFonts w:cs="Times New Roman"/>
        </w:rPr>
      </w:pPr>
    </w:p>
    <w:p w14:paraId="3C680858" w14:textId="77777777" w:rsidR="0018625B" w:rsidRPr="003B436E" w:rsidRDefault="001A575D" w:rsidP="004834DE">
      <w:pPr>
        <w:ind w:left="720"/>
        <w:rPr>
          <w:rFonts w:cs="Times New Roman"/>
          <w:b/>
        </w:rPr>
      </w:pPr>
      <w:r w:rsidRPr="003B436E">
        <w:rPr>
          <w:rFonts w:cs="Times New Roman"/>
          <w:b/>
        </w:rPr>
        <w:t>Georgia Government Transparency and Campaign Finance Commission</w:t>
      </w:r>
    </w:p>
    <w:p w14:paraId="7E14FE3E" w14:textId="77777777" w:rsidR="0088682F" w:rsidRPr="003B436E" w:rsidRDefault="0088682F" w:rsidP="004834DE">
      <w:pPr>
        <w:ind w:left="720"/>
        <w:rPr>
          <w:rFonts w:cs="Times New Roman"/>
          <w:b/>
        </w:rPr>
      </w:pPr>
      <w:r w:rsidRPr="003B436E">
        <w:rPr>
          <w:rFonts w:cs="Times New Roman"/>
          <w:b/>
        </w:rPr>
        <w:t>BY:</w:t>
      </w:r>
    </w:p>
    <w:p w14:paraId="066A8E68" w14:textId="77777777" w:rsidR="00842E02" w:rsidRPr="003B436E" w:rsidRDefault="00842E02" w:rsidP="004834DE">
      <w:pPr>
        <w:ind w:left="720"/>
        <w:rPr>
          <w:rFonts w:cs="Times New Roman"/>
          <w:b/>
          <w:u w:val="single"/>
        </w:rPr>
      </w:pPr>
    </w:p>
    <w:p w14:paraId="40E5E540" w14:textId="77777777" w:rsidR="001A575D" w:rsidRPr="003B436E" w:rsidRDefault="0088682F" w:rsidP="004834DE">
      <w:pPr>
        <w:ind w:left="720"/>
        <w:rPr>
          <w:rFonts w:cs="Times New Roman"/>
          <w:b/>
          <w:u w:val="single"/>
        </w:rPr>
      </w:pPr>
      <w:r w:rsidRPr="003B436E">
        <w:rPr>
          <w:rFonts w:cs="Times New Roman"/>
          <w:b/>
          <w:u w:val="single"/>
        </w:rPr>
        <w:tab/>
      </w:r>
      <w:r w:rsidRPr="003B436E">
        <w:rPr>
          <w:rFonts w:cs="Times New Roman"/>
          <w:b/>
          <w:u w:val="single"/>
        </w:rPr>
        <w:tab/>
      </w:r>
      <w:r w:rsidRPr="003B436E">
        <w:rPr>
          <w:rFonts w:cs="Times New Roman"/>
          <w:b/>
          <w:u w:val="single"/>
        </w:rPr>
        <w:tab/>
      </w:r>
      <w:r w:rsidRPr="003B436E">
        <w:rPr>
          <w:rFonts w:cs="Times New Roman"/>
          <w:b/>
          <w:u w:val="single"/>
        </w:rPr>
        <w:tab/>
      </w:r>
      <w:r w:rsidR="00842E02" w:rsidRPr="003B436E">
        <w:rPr>
          <w:rFonts w:cs="Times New Roman"/>
          <w:b/>
          <w:u w:val="single"/>
        </w:rPr>
        <w:tab/>
      </w:r>
      <w:r w:rsidR="00842E02" w:rsidRPr="003B436E">
        <w:rPr>
          <w:rFonts w:cs="Times New Roman"/>
          <w:b/>
          <w:u w:val="single"/>
        </w:rPr>
        <w:tab/>
      </w:r>
      <w:r w:rsidRPr="003B436E">
        <w:rPr>
          <w:rFonts w:cs="Times New Roman"/>
          <w:b/>
          <w:u w:val="single"/>
        </w:rPr>
        <w:t xml:space="preserve"> </w:t>
      </w:r>
    </w:p>
    <w:p w14:paraId="4E98AE4D" w14:textId="00213E81" w:rsidR="001A575D" w:rsidRPr="003B436E" w:rsidRDefault="00134F82" w:rsidP="004834DE">
      <w:pPr>
        <w:ind w:left="720"/>
        <w:rPr>
          <w:rFonts w:cs="Times New Roman"/>
        </w:rPr>
      </w:pPr>
      <w:r w:rsidRPr="003B436E">
        <w:rPr>
          <w:rFonts w:cs="Times New Roman"/>
        </w:rPr>
        <w:t>Jake Evans</w:t>
      </w:r>
      <w:r w:rsidR="00842E02" w:rsidRPr="003B436E">
        <w:rPr>
          <w:rFonts w:cs="Times New Roman"/>
        </w:rPr>
        <w:t>, Chair</w:t>
      </w:r>
    </w:p>
    <w:sectPr w:rsidR="001A575D" w:rsidRPr="003B436E" w:rsidSect="00622BC1">
      <w:footerReference w:type="default" r:id="rId8"/>
      <w:pgSz w:w="12240" w:h="15840" w:code="1"/>
      <w:pgMar w:top="1138" w:right="1138" w:bottom="1138" w:left="1138" w:header="720" w:footer="720" w:gutter="0"/>
      <w:paperSrc w:first="260" w:other="260"/>
      <w:pgBorders w:offsetFrom="page">
        <w:top w:val="single" w:sz="18" w:space="24" w:color="000000"/>
        <w:left w:val="single" w:sz="18" w:space="24" w:color="000000"/>
        <w:bottom w:val="single" w:sz="18" w:space="24" w:color="000000"/>
        <w:right w:val="single" w:sz="18"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820C" w14:textId="77777777" w:rsidR="00066FE5" w:rsidRDefault="00066FE5" w:rsidP="00D16190">
      <w:r>
        <w:separator/>
      </w:r>
    </w:p>
  </w:endnote>
  <w:endnote w:type="continuationSeparator" w:id="0">
    <w:p w14:paraId="6BF5ACC2" w14:textId="77777777" w:rsidR="00066FE5" w:rsidRDefault="00066FE5" w:rsidP="00D1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323369"/>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2B13538D" w14:textId="77777777" w:rsidR="009E01FA" w:rsidRPr="009E01FA" w:rsidRDefault="009E01FA" w:rsidP="009E01FA">
            <w:pPr>
              <w:pStyle w:val="Footer"/>
              <w:jc w:val="center"/>
              <w:rPr>
                <w:sz w:val="20"/>
                <w:szCs w:val="20"/>
              </w:rPr>
            </w:pPr>
            <w:r w:rsidRPr="009E01FA">
              <w:rPr>
                <w:sz w:val="20"/>
                <w:szCs w:val="20"/>
              </w:rPr>
              <w:t>Consent Order</w:t>
            </w:r>
          </w:p>
          <w:p w14:paraId="1F790704" w14:textId="16F7CDF1" w:rsidR="009E01FA" w:rsidRPr="009E01FA" w:rsidRDefault="009E01FA" w:rsidP="009E01FA">
            <w:pPr>
              <w:pStyle w:val="Footer"/>
              <w:jc w:val="center"/>
              <w:rPr>
                <w:sz w:val="20"/>
                <w:szCs w:val="20"/>
              </w:rPr>
            </w:pPr>
            <w:r w:rsidRPr="009E01FA">
              <w:rPr>
                <w:sz w:val="20"/>
                <w:szCs w:val="20"/>
              </w:rPr>
              <w:t xml:space="preserve">In the Matter of </w:t>
            </w:r>
            <w:r w:rsidR="00134F82">
              <w:rPr>
                <w:sz w:val="20"/>
                <w:szCs w:val="20"/>
              </w:rPr>
              <w:t>Mary Norwood</w:t>
            </w:r>
          </w:p>
          <w:p w14:paraId="010EE02D" w14:textId="19B0F4C3" w:rsidR="009E01FA" w:rsidRPr="009E01FA" w:rsidRDefault="009E01FA" w:rsidP="009E01FA">
            <w:pPr>
              <w:pStyle w:val="Footer"/>
              <w:jc w:val="center"/>
              <w:rPr>
                <w:sz w:val="20"/>
                <w:szCs w:val="20"/>
              </w:rPr>
            </w:pPr>
            <w:r w:rsidRPr="009E01FA">
              <w:rPr>
                <w:sz w:val="20"/>
                <w:szCs w:val="20"/>
              </w:rPr>
              <w:t xml:space="preserve">Case No.: </w:t>
            </w:r>
            <w:r w:rsidR="00134F82">
              <w:rPr>
                <w:sz w:val="20"/>
                <w:szCs w:val="20"/>
              </w:rPr>
              <w:t>20</w:t>
            </w:r>
            <w:r w:rsidR="00E526BD">
              <w:rPr>
                <w:sz w:val="20"/>
                <w:szCs w:val="20"/>
              </w:rPr>
              <w:t>17</w:t>
            </w:r>
            <w:r w:rsidR="00134F82">
              <w:rPr>
                <w:sz w:val="20"/>
                <w:szCs w:val="20"/>
              </w:rPr>
              <w:t>-0233</w:t>
            </w:r>
          </w:p>
          <w:p w14:paraId="32BAC8E8" w14:textId="77777777" w:rsidR="006C00AA" w:rsidRPr="009E01FA" w:rsidRDefault="006C00AA" w:rsidP="009E01FA">
            <w:pPr>
              <w:pStyle w:val="Footer"/>
              <w:jc w:val="center"/>
              <w:rPr>
                <w:sz w:val="20"/>
                <w:szCs w:val="20"/>
              </w:rPr>
            </w:pPr>
            <w:r w:rsidRPr="009E01FA">
              <w:rPr>
                <w:sz w:val="20"/>
                <w:szCs w:val="20"/>
              </w:rPr>
              <w:t xml:space="preserve">Page </w:t>
            </w:r>
            <w:r w:rsidRPr="009E01FA">
              <w:rPr>
                <w:b/>
                <w:bCs/>
                <w:sz w:val="20"/>
                <w:szCs w:val="20"/>
              </w:rPr>
              <w:fldChar w:fldCharType="begin"/>
            </w:r>
            <w:r w:rsidRPr="009E01FA">
              <w:rPr>
                <w:b/>
                <w:bCs/>
                <w:sz w:val="20"/>
                <w:szCs w:val="20"/>
              </w:rPr>
              <w:instrText xml:space="preserve"> PAGE </w:instrText>
            </w:r>
            <w:r w:rsidRPr="009E01FA">
              <w:rPr>
                <w:b/>
                <w:bCs/>
                <w:sz w:val="20"/>
                <w:szCs w:val="20"/>
              </w:rPr>
              <w:fldChar w:fldCharType="separate"/>
            </w:r>
            <w:r w:rsidR="00767E91">
              <w:rPr>
                <w:b/>
                <w:bCs/>
                <w:noProof/>
                <w:sz w:val="20"/>
                <w:szCs w:val="20"/>
              </w:rPr>
              <w:t>3</w:t>
            </w:r>
            <w:r w:rsidRPr="009E01FA">
              <w:rPr>
                <w:b/>
                <w:bCs/>
                <w:sz w:val="20"/>
                <w:szCs w:val="20"/>
              </w:rPr>
              <w:fldChar w:fldCharType="end"/>
            </w:r>
            <w:r w:rsidRPr="009E01FA">
              <w:rPr>
                <w:sz w:val="20"/>
                <w:szCs w:val="20"/>
              </w:rPr>
              <w:t xml:space="preserve"> of </w:t>
            </w:r>
            <w:r w:rsidRPr="009E01FA">
              <w:rPr>
                <w:b/>
                <w:bCs/>
                <w:sz w:val="20"/>
                <w:szCs w:val="20"/>
              </w:rPr>
              <w:fldChar w:fldCharType="begin"/>
            </w:r>
            <w:r w:rsidRPr="009E01FA">
              <w:rPr>
                <w:b/>
                <w:bCs/>
                <w:sz w:val="20"/>
                <w:szCs w:val="20"/>
              </w:rPr>
              <w:instrText xml:space="preserve"> NUMPAGES  </w:instrText>
            </w:r>
            <w:r w:rsidRPr="009E01FA">
              <w:rPr>
                <w:b/>
                <w:bCs/>
                <w:sz w:val="20"/>
                <w:szCs w:val="20"/>
              </w:rPr>
              <w:fldChar w:fldCharType="separate"/>
            </w:r>
            <w:r w:rsidR="00767E91">
              <w:rPr>
                <w:b/>
                <w:bCs/>
                <w:noProof/>
                <w:sz w:val="20"/>
                <w:szCs w:val="20"/>
              </w:rPr>
              <w:t>4</w:t>
            </w:r>
            <w:r w:rsidRPr="009E01FA">
              <w:rPr>
                <w:b/>
                <w:bCs/>
                <w:sz w:val="20"/>
                <w:szCs w:val="20"/>
              </w:rPr>
              <w:fldChar w:fldCharType="end"/>
            </w:r>
          </w:p>
        </w:sdtContent>
      </w:sdt>
    </w:sdtContent>
  </w:sdt>
  <w:p w14:paraId="42BA4CB7" w14:textId="77777777" w:rsidR="00066FE5" w:rsidRPr="00842E02" w:rsidRDefault="00066FE5" w:rsidP="00842E0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A8F2" w14:textId="77777777" w:rsidR="00066FE5" w:rsidRDefault="00066FE5" w:rsidP="00D16190">
      <w:r w:rsidRPr="00D16190">
        <w:rPr>
          <w:color w:val="000000"/>
        </w:rPr>
        <w:separator/>
      </w:r>
    </w:p>
  </w:footnote>
  <w:footnote w:type="continuationSeparator" w:id="0">
    <w:p w14:paraId="64566F19" w14:textId="77777777" w:rsidR="00066FE5" w:rsidRDefault="00066FE5" w:rsidP="00D16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C2B"/>
    <w:multiLevelType w:val="hybridMultilevel"/>
    <w:tmpl w:val="DF7C1584"/>
    <w:lvl w:ilvl="0" w:tplc="52AE31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9A82E2C"/>
    <w:multiLevelType w:val="hybridMultilevel"/>
    <w:tmpl w:val="080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16F"/>
    <w:multiLevelType w:val="hybridMultilevel"/>
    <w:tmpl w:val="D2B8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D59"/>
    <w:multiLevelType w:val="hybridMultilevel"/>
    <w:tmpl w:val="419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6735"/>
    <w:multiLevelType w:val="hybridMultilevel"/>
    <w:tmpl w:val="73F61E28"/>
    <w:lvl w:ilvl="0" w:tplc="506A7F42">
      <w:start w:val="1"/>
      <w:numFmt w:val="bullet"/>
      <w:lvlText w:val="•"/>
      <w:lvlJc w:val="left"/>
      <w:pPr>
        <w:tabs>
          <w:tab w:val="num" w:pos="720"/>
        </w:tabs>
        <w:ind w:left="720" w:hanging="360"/>
      </w:pPr>
      <w:rPr>
        <w:rFonts w:ascii="Times New Roman" w:hAnsi="Times New Roman" w:hint="default"/>
      </w:rPr>
    </w:lvl>
    <w:lvl w:ilvl="1" w:tplc="9FCCCE90" w:tentative="1">
      <w:start w:val="1"/>
      <w:numFmt w:val="bullet"/>
      <w:lvlText w:val="•"/>
      <w:lvlJc w:val="left"/>
      <w:pPr>
        <w:tabs>
          <w:tab w:val="num" w:pos="1440"/>
        </w:tabs>
        <w:ind w:left="1440" w:hanging="360"/>
      </w:pPr>
      <w:rPr>
        <w:rFonts w:ascii="Times New Roman" w:hAnsi="Times New Roman" w:hint="default"/>
      </w:rPr>
    </w:lvl>
    <w:lvl w:ilvl="2" w:tplc="1702FBB2" w:tentative="1">
      <w:start w:val="1"/>
      <w:numFmt w:val="bullet"/>
      <w:lvlText w:val="•"/>
      <w:lvlJc w:val="left"/>
      <w:pPr>
        <w:tabs>
          <w:tab w:val="num" w:pos="2160"/>
        </w:tabs>
        <w:ind w:left="2160" w:hanging="360"/>
      </w:pPr>
      <w:rPr>
        <w:rFonts w:ascii="Times New Roman" w:hAnsi="Times New Roman" w:hint="default"/>
      </w:rPr>
    </w:lvl>
    <w:lvl w:ilvl="3" w:tplc="6E5C460E" w:tentative="1">
      <w:start w:val="1"/>
      <w:numFmt w:val="bullet"/>
      <w:lvlText w:val="•"/>
      <w:lvlJc w:val="left"/>
      <w:pPr>
        <w:tabs>
          <w:tab w:val="num" w:pos="2880"/>
        </w:tabs>
        <w:ind w:left="2880" w:hanging="360"/>
      </w:pPr>
      <w:rPr>
        <w:rFonts w:ascii="Times New Roman" w:hAnsi="Times New Roman" w:hint="default"/>
      </w:rPr>
    </w:lvl>
    <w:lvl w:ilvl="4" w:tplc="048E3A62" w:tentative="1">
      <w:start w:val="1"/>
      <w:numFmt w:val="bullet"/>
      <w:lvlText w:val="•"/>
      <w:lvlJc w:val="left"/>
      <w:pPr>
        <w:tabs>
          <w:tab w:val="num" w:pos="3600"/>
        </w:tabs>
        <w:ind w:left="3600" w:hanging="360"/>
      </w:pPr>
      <w:rPr>
        <w:rFonts w:ascii="Times New Roman" w:hAnsi="Times New Roman" w:hint="default"/>
      </w:rPr>
    </w:lvl>
    <w:lvl w:ilvl="5" w:tplc="4ECC45E4" w:tentative="1">
      <w:start w:val="1"/>
      <w:numFmt w:val="bullet"/>
      <w:lvlText w:val="•"/>
      <w:lvlJc w:val="left"/>
      <w:pPr>
        <w:tabs>
          <w:tab w:val="num" w:pos="4320"/>
        </w:tabs>
        <w:ind w:left="4320" w:hanging="360"/>
      </w:pPr>
      <w:rPr>
        <w:rFonts w:ascii="Times New Roman" w:hAnsi="Times New Roman" w:hint="default"/>
      </w:rPr>
    </w:lvl>
    <w:lvl w:ilvl="6" w:tplc="881E890C" w:tentative="1">
      <w:start w:val="1"/>
      <w:numFmt w:val="bullet"/>
      <w:lvlText w:val="•"/>
      <w:lvlJc w:val="left"/>
      <w:pPr>
        <w:tabs>
          <w:tab w:val="num" w:pos="5040"/>
        </w:tabs>
        <w:ind w:left="5040" w:hanging="360"/>
      </w:pPr>
      <w:rPr>
        <w:rFonts w:ascii="Times New Roman" w:hAnsi="Times New Roman" w:hint="default"/>
      </w:rPr>
    </w:lvl>
    <w:lvl w:ilvl="7" w:tplc="1C460ADA" w:tentative="1">
      <w:start w:val="1"/>
      <w:numFmt w:val="bullet"/>
      <w:lvlText w:val="•"/>
      <w:lvlJc w:val="left"/>
      <w:pPr>
        <w:tabs>
          <w:tab w:val="num" w:pos="5760"/>
        </w:tabs>
        <w:ind w:left="5760" w:hanging="360"/>
      </w:pPr>
      <w:rPr>
        <w:rFonts w:ascii="Times New Roman" w:hAnsi="Times New Roman" w:hint="default"/>
      </w:rPr>
    </w:lvl>
    <w:lvl w:ilvl="8" w:tplc="BB8A12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544F1C"/>
    <w:multiLevelType w:val="hybridMultilevel"/>
    <w:tmpl w:val="736C6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3266F7"/>
    <w:multiLevelType w:val="hybridMultilevel"/>
    <w:tmpl w:val="B6C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12B1F"/>
    <w:multiLevelType w:val="hybridMultilevel"/>
    <w:tmpl w:val="12B4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2F76"/>
    <w:multiLevelType w:val="hybridMultilevel"/>
    <w:tmpl w:val="DFE0102E"/>
    <w:lvl w:ilvl="0" w:tplc="43FECA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F7C64"/>
    <w:multiLevelType w:val="hybridMultilevel"/>
    <w:tmpl w:val="B9769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446D"/>
    <w:multiLevelType w:val="hybridMultilevel"/>
    <w:tmpl w:val="AE6E3224"/>
    <w:lvl w:ilvl="0" w:tplc="83002A5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2304FDF"/>
    <w:multiLevelType w:val="hybridMultilevel"/>
    <w:tmpl w:val="BF84CEA2"/>
    <w:lvl w:ilvl="0" w:tplc="FDE035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25672A6A"/>
    <w:multiLevelType w:val="hybridMultilevel"/>
    <w:tmpl w:val="49B40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7B031E"/>
    <w:multiLevelType w:val="hybridMultilevel"/>
    <w:tmpl w:val="0916E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F6E22"/>
    <w:multiLevelType w:val="hybridMultilevel"/>
    <w:tmpl w:val="9CDA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6467E"/>
    <w:multiLevelType w:val="hybridMultilevel"/>
    <w:tmpl w:val="2D0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D045D"/>
    <w:multiLevelType w:val="hybridMultilevel"/>
    <w:tmpl w:val="A8845960"/>
    <w:lvl w:ilvl="0" w:tplc="4566C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A3BEA"/>
    <w:multiLevelType w:val="hybridMultilevel"/>
    <w:tmpl w:val="7ABABBCE"/>
    <w:lvl w:ilvl="0" w:tplc="1A348A72">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32680"/>
    <w:multiLevelType w:val="hybridMultilevel"/>
    <w:tmpl w:val="3758A732"/>
    <w:lvl w:ilvl="0" w:tplc="1FE62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C0F02"/>
    <w:multiLevelType w:val="hybridMultilevel"/>
    <w:tmpl w:val="D8083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4479A"/>
    <w:multiLevelType w:val="hybridMultilevel"/>
    <w:tmpl w:val="AE6E3224"/>
    <w:lvl w:ilvl="0" w:tplc="83002A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4C3249A"/>
    <w:multiLevelType w:val="hybridMultilevel"/>
    <w:tmpl w:val="AE6E3224"/>
    <w:lvl w:ilvl="0" w:tplc="83002A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52C6301"/>
    <w:multiLevelType w:val="hybridMultilevel"/>
    <w:tmpl w:val="A9A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6139"/>
    <w:multiLevelType w:val="hybridMultilevel"/>
    <w:tmpl w:val="5156D532"/>
    <w:lvl w:ilvl="0" w:tplc="E0F845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4B1C46D2"/>
    <w:multiLevelType w:val="hybridMultilevel"/>
    <w:tmpl w:val="705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C5C42"/>
    <w:multiLevelType w:val="hybridMultilevel"/>
    <w:tmpl w:val="1F3A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327CAD"/>
    <w:multiLevelType w:val="hybridMultilevel"/>
    <w:tmpl w:val="B43E33E6"/>
    <w:lvl w:ilvl="0" w:tplc="639AAB16">
      <w:start w:val="1"/>
      <w:numFmt w:val="bullet"/>
      <w:lvlText w:val="•"/>
      <w:lvlJc w:val="left"/>
      <w:pPr>
        <w:tabs>
          <w:tab w:val="num" w:pos="720"/>
        </w:tabs>
        <w:ind w:left="720" w:hanging="360"/>
      </w:pPr>
      <w:rPr>
        <w:rFonts w:ascii="Times New Roman" w:hAnsi="Times New Roman" w:hint="default"/>
      </w:rPr>
    </w:lvl>
    <w:lvl w:ilvl="1" w:tplc="E208F396" w:tentative="1">
      <w:start w:val="1"/>
      <w:numFmt w:val="bullet"/>
      <w:lvlText w:val="•"/>
      <w:lvlJc w:val="left"/>
      <w:pPr>
        <w:tabs>
          <w:tab w:val="num" w:pos="1440"/>
        </w:tabs>
        <w:ind w:left="1440" w:hanging="360"/>
      </w:pPr>
      <w:rPr>
        <w:rFonts w:ascii="Times New Roman" w:hAnsi="Times New Roman" w:hint="default"/>
      </w:rPr>
    </w:lvl>
    <w:lvl w:ilvl="2" w:tplc="694E2EEE" w:tentative="1">
      <w:start w:val="1"/>
      <w:numFmt w:val="bullet"/>
      <w:lvlText w:val="•"/>
      <w:lvlJc w:val="left"/>
      <w:pPr>
        <w:tabs>
          <w:tab w:val="num" w:pos="2160"/>
        </w:tabs>
        <w:ind w:left="2160" w:hanging="360"/>
      </w:pPr>
      <w:rPr>
        <w:rFonts w:ascii="Times New Roman" w:hAnsi="Times New Roman" w:hint="default"/>
      </w:rPr>
    </w:lvl>
    <w:lvl w:ilvl="3" w:tplc="B94C4C1E" w:tentative="1">
      <w:start w:val="1"/>
      <w:numFmt w:val="bullet"/>
      <w:lvlText w:val="•"/>
      <w:lvlJc w:val="left"/>
      <w:pPr>
        <w:tabs>
          <w:tab w:val="num" w:pos="2880"/>
        </w:tabs>
        <w:ind w:left="2880" w:hanging="360"/>
      </w:pPr>
      <w:rPr>
        <w:rFonts w:ascii="Times New Roman" w:hAnsi="Times New Roman" w:hint="default"/>
      </w:rPr>
    </w:lvl>
    <w:lvl w:ilvl="4" w:tplc="823800DA" w:tentative="1">
      <w:start w:val="1"/>
      <w:numFmt w:val="bullet"/>
      <w:lvlText w:val="•"/>
      <w:lvlJc w:val="left"/>
      <w:pPr>
        <w:tabs>
          <w:tab w:val="num" w:pos="3600"/>
        </w:tabs>
        <w:ind w:left="3600" w:hanging="360"/>
      </w:pPr>
      <w:rPr>
        <w:rFonts w:ascii="Times New Roman" w:hAnsi="Times New Roman" w:hint="default"/>
      </w:rPr>
    </w:lvl>
    <w:lvl w:ilvl="5" w:tplc="F20C46E0" w:tentative="1">
      <w:start w:val="1"/>
      <w:numFmt w:val="bullet"/>
      <w:lvlText w:val="•"/>
      <w:lvlJc w:val="left"/>
      <w:pPr>
        <w:tabs>
          <w:tab w:val="num" w:pos="4320"/>
        </w:tabs>
        <w:ind w:left="4320" w:hanging="360"/>
      </w:pPr>
      <w:rPr>
        <w:rFonts w:ascii="Times New Roman" w:hAnsi="Times New Roman" w:hint="default"/>
      </w:rPr>
    </w:lvl>
    <w:lvl w:ilvl="6" w:tplc="8F3A22B4" w:tentative="1">
      <w:start w:val="1"/>
      <w:numFmt w:val="bullet"/>
      <w:lvlText w:val="•"/>
      <w:lvlJc w:val="left"/>
      <w:pPr>
        <w:tabs>
          <w:tab w:val="num" w:pos="5040"/>
        </w:tabs>
        <w:ind w:left="5040" w:hanging="360"/>
      </w:pPr>
      <w:rPr>
        <w:rFonts w:ascii="Times New Roman" w:hAnsi="Times New Roman" w:hint="default"/>
      </w:rPr>
    </w:lvl>
    <w:lvl w:ilvl="7" w:tplc="9C7004A2" w:tentative="1">
      <w:start w:val="1"/>
      <w:numFmt w:val="bullet"/>
      <w:lvlText w:val="•"/>
      <w:lvlJc w:val="left"/>
      <w:pPr>
        <w:tabs>
          <w:tab w:val="num" w:pos="5760"/>
        </w:tabs>
        <w:ind w:left="5760" w:hanging="360"/>
      </w:pPr>
      <w:rPr>
        <w:rFonts w:ascii="Times New Roman" w:hAnsi="Times New Roman" w:hint="default"/>
      </w:rPr>
    </w:lvl>
    <w:lvl w:ilvl="8" w:tplc="0834372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382DB8"/>
    <w:multiLevelType w:val="hybridMultilevel"/>
    <w:tmpl w:val="06100724"/>
    <w:lvl w:ilvl="0" w:tplc="20CCA9AE">
      <w:start w:val="1"/>
      <w:numFmt w:val="upp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8" w15:restartNumberingAfterBreak="0">
    <w:nsid w:val="5B8E1792"/>
    <w:multiLevelType w:val="hybridMultilevel"/>
    <w:tmpl w:val="E2B0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234BD"/>
    <w:multiLevelType w:val="hybridMultilevel"/>
    <w:tmpl w:val="E402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C16201"/>
    <w:multiLevelType w:val="hybridMultilevel"/>
    <w:tmpl w:val="2E167D4C"/>
    <w:lvl w:ilvl="0" w:tplc="8CE493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E439D"/>
    <w:multiLevelType w:val="hybridMultilevel"/>
    <w:tmpl w:val="AE6E3224"/>
    <w:lvl w:ilvl="0" w:tplc="83002A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7F26A86"/>
    <w:multiLevelType w:val="hybridMultilevel"/>
    <w:tmpl w:val="EE5A9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6764B9"/>
    <w:multiLevelType w:val="hybridMultilevel"/>
    <w:tmpl w:val="9534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73B00"/>
    <w:multiLevelType w:val="hybridMultilevel"/>
    <w:tmpl w:val="8376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B4FC0"/>
    <w:multiLevelType w:val="hybridMultilevel"/>
    <w:tmpl w:val="2E167D4C"/>
    <w:lvl w:ilvl="0" w:tplc="8CE493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D0CE0"/>
    <w:multiLevelType w:val="hybridMultilevel"/>
    <w:tmpl w:val="66E4A740"/>
    <w:lvl w:ilvl="0" w:tplc="EFE6D4E8">
      <w:start w:val="1"/>
      <w:numFmt w:val="bullet"/>
      <w:lvlText w:val="•"/>
      <w:lvlJc w:val="left"/>
      <w:pPr>
        <w:tabs>
          <w:tab w:val="num" w:pos="720"/>
        </w:tabs>
        <w:ind w:left="720" w:hanging="360"/>
      </w:pPr>
      <w:rPr>
        <w:rFonts w:ascii="Times New Roman" w:hAnsi="Times New Roman" w:hint="default"/>
      </w:rPr>
    </w:lvl>
    <w:lvl w:ilvl="1" w:tplc="744E79D6" w:tentative="1">
      <w:start w:val="1"/>
      <w:numFmt w:val="bullet"/>
      <w:lvlText w:val="•"/>
      <w:lvlJc w:val="left"/>
      <w:pPr>
        <w:tabs>
          <w:tab w:val="num" w:pos="1440"/>
        </w:tabs>
        <w:ind w:left="1440" w:hanging="360"/>
      </w:pPr>
      <w:rPr>
        <w:rFonts w:ascii="Times New Roman" w:hAnsi="Times New Roman" w:hint="default"/>
      </w:rPr>
    </w:lvl>
    <w:lvl w:ilvl="2" w:tplc="AAD08724" w:tentative="1">
      <w:start w:val="1"/>
      <w:numFmt w:val="bullet"/>
      <w:lvlText w:val="•"/>
      <w:lvlJc w:val="left"/>
      <w:pPr>
        <w:tabs>
          <w:tab w:val="num" w:pos="2160"/>
        </w:tabs>
        <w:ind w:left="2160" w:hanging="360"/>
      </w:pPr>
      <w:rPr>
        <w:rFonts w:ascii="Times New Roman" w:hAnsi="Times New Roman" w:hint="default"/>
      </w:rPr>
    </w:lvl>
    <w:lvl w:ilvl="3" w:tplc="1A662C9E" w:tentative="1">
      <w:start w:val="1"/>
      <w:numFmt w:val="bullet"/>
      <w:lvlText w:val="•"/>
      <w:lvlJc w:val="left"/>
      <w:pPr>
        <w:tabs>
          <w:tab w:val="num" w:pos="2880"/>
        </w:tabs>
        <w:ind w:left="2880" w:hanging="360"/>
      </w:pPr>
      <w:rPr>
        <w:rFonts w:ascii="Times New Roman" w:hAnsi="Times New Roman" w:hint="default"/>
      </w:rPr>
    </w:lvl>
    <w:lvl w:ilvl="4" w:tplc="FBCC47D4" w:tentative="1">
      <w:start w:val="1"/>
      <w:numFmt w:val="bullet"/>
      <w:lvlText w:val="•"/>
      <w:lvlJc w:val="left"/>
      <w:pPr>
        <w:tabs>
          <w:tab w:val="num" w:pos="3600"/>
        </w:tabs>
        <w:ind w:left="3600" w:hanging="360"/>
      </w:pPr>
      <w:rPr>
        <w:rFonts w:ascii="Times New Roman" w:hAnsi="Times New Roman" w:hint="default"/>
      </w:rPr>
    </w:lvl>
    <w:lvl w:ilvl="5" w:tplc="1264F426" w:tentative="1">
      <w:start w:val="1"/>
      <w:numFmt w:val="bullet"/>
      <w:lvlText w:val="•"/>
      <w:lvlJc w:val="left"/>
      <w:pPr>
        <w:tabs>
          <w:tab w:val="num" w:pos="4320"/>
        </w:tabs>
        <w:ind w:left="4320" w:hanging="360"/>
      </w:pPr>
      <w:rPr>
        <w:rFonts w:ascii="Times New Roman" w:hAnsi="Times New Roman" w:hint="default"/>
      </w:rPr>
    </w:lvl>
    <w:lvl w:ilvl="6" w:tplc="D618EE44" w:tentative="1">
      <w:start w:val="1"/>
      <w:numFmt w:val="bullet"/>
      <w:lvlText w:val="•"/>
      <w:lvlJc w:val="left"/>
      <w:pPr>
        <w:tabs>
          <w:tab w:val="num" w:pos="5040"/>
        </w:tabs>
        <w:ind w:left="5040" w:hanging="360"/>
      </w:pPr>
      <w:rPr>
        <w:rFonts w:ascii="Times New Roman" w:hAnsi="Times New Roman" w:hint="default"/>
      </w:rPr>
    </w:lvl>
    <w:lvl w:ilvl="7" w:tplc="590A6900" w:tentative="1">
      <w:start w:val="1"/>
      <w:numFmt w:val="bullet"/>
      <w:lvlText w:val="•"/>
      <w:lvlJc w:val="left"/>
      <w:pPr>
        <w:tabs>
          <w:tab w:val="num" w:pos="5760"/>
        </w:tabs>
        <w:ind w:left="5760" w:hanging="360"/>
      </w:pPr>
      <w:rPr>
        <w:rFonts w:ascii="Times New Roman" w:hAnsi="Times New Roman" w:hint="default"/>
      </w:rPr>
    </w:lvl>
    <w:lvl w:ilvl="8" w:tplc="A5227FB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0C495E"/>
    <w:multiLevelType w:val="hybridMultilevel"/>
    <w:tmpl w:val="DF7C1584"/>
    <w:lvl w:ilvl="0" w:tplc="52AE31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7CC1287"/>
    <w:multiLevelType w:val="hybridMultilevel"/>
    <w:tmpl w:val="CB78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D44FB"/>
    <w:multiLevelType w:val="hybridMultilevel"/>
    <w:tmpl w:val="665EA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B6345"/>
    <w:multiLevelType w:val="hybridMultilevel"/>
    <w:tmpl w:val="6CC42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26"/>
  </w:num>
  <w:num w:numId="4">
    <w:abstractNumId w:val="29"/>
  </w:num>
  <w:num w:numId="5">
    <w:abstractNumId w:val="25"/>
  </w:num>
  <w:num w:numId="6">
    <w:abstractNumId w:val="14"/>
  </w:num>
  <w:num w:numId="7">
    <w:abstractNumId w:val="24"/>
  </w:num>
  <w:num w:numId="8">
    <w:abstractNumId w:val="1"/>
  </w:num>
  <w:num w:numId="9">
    <w:abstractNumId w:val="28"/>
  </w:num>
  <w:num w:numId="10">
    <w:abstractNumId w:val="32"/>
  </w:num>
  <w:num w:numId="11">
    <w:abstractNumId w:val="5"/>
  </w:num>
  <w:num w:numId="12">
    <w:abstractNumId w:val="12"/>
  </w:num>
  <w:num w:numId="13">
    <w:abstractNumId w:val="22"/>
  </w:num>
  <w:num w:numId="14">
    <w:abstractNumId w:val="15"/>
  </w:num>
  <w:num w:numId="15">
    <w:abstractNumId w:val="19"/>
  </w:num>
  <w:num w:numId="16">
    <w:abstractNumId w:val="6"/>
  </w:num>
  <w:num w:numId="17">
    <w:abstractNumId w:val="33"/>
  </w:num>
  <w:num w:numId="18">
    <w:abstractNumId w:val="2"/>
  </w:num>
  <w:num w:numId="19">
    <w:abstractNumId w:val="34"/>
  </w:num>
  <w:num w:numId="20">
    <w:abstractNumId w:val="13"/>
  </w:num>
  <w:num w:numId="21">
    <w:abstractNumId w:val="16"/>
  </w:num>
  <w:num w:numId="22">
    <w:abstractNumId w:val="38"/>
  </w:num>
  <w:num w:numId="23">
    <w:abstractNumId w:val="40"/>
  </w:num>
  <w:num w:numId="24">
    <w:abstractNumId w:val="8"/>
  </w:num>
  <w:num w:numId="25">
    <w:abstractNumId w:val="11"/>
  </w:num>
  <w:num w:numId="26">
    <w:abstractNumId w:val="39"/>
  </w:num>
  <w:num w:numId="27">
    <w:abstractNumId w:val="35"/>
  </w:num>
  <w:num w:numId="28">
    <w:abstractNumId w:val="30"/>
  </w:num>
  <w:num w:numId="29">
    <w:abstractNumId w:val="9"/>
  </w:num>
  <w:num w:numId="30">
    <w:abstractNumId w:val="18"/>
  </w:num>
  <w:num w:numId="31">
    <w:abstractNumId w:val="3"/>
  </w:num>
  <w:num w:numId="32">
    <w:abstractNumId w:val="7"/>
  </w:num>
  <w:num w:numId="33">
    <w:abstractNumId w:val="10"/>
  </w:num>
  <w:num w:numId="34">
    <w:abstractNumId w:val="23"/>
  </w:num>
  <w:num w:numId="35">
    <w:abstractNumId w:val="37"/>
  </w:num>
  <w:num w:numId="36">
    <w:abstractNumId w:val="27"/>
  </w:num>
  <w:num w:numId="37">
    <w:abstractNumId w:val="0"/>
  </w:num>
  <w:num w:numId="38">
    <w:abstractNumId w:val="20"/>
  </w:num>
  <w:num w:numId="39">
    <w:abstractNumId w:val="31"/>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90"/>
    <w:rsid w:val="000052DE"/>
    <w:rsid w:val="00006A79"/>
    <w:rsid w:val="00007B55"/>
    <w:rsid w:val="00016BDB"/>
    <w:rsid w:val="00025106"/>
    <w:rsid w:val="00025602"/>
    <w:rsid w:val="00031036"/>
    <w:rsid w:val="000328FA"/>
    <w:rsid w:val="00037FA7"/>
    <w:rsid w:val="00041CE3"/>
    <w:rsid w:val="00044527"/>
    <w:rsid w:val="00054E53"/>
    <w:rsid w:val="00057199"/>
    <w:rsid w:val="000604F0"/>
    <w:rsid w:val="000642CD"/>
    <w:rsid w:val="00065B11"/>
    <w:rsid w:val="00066FE5"/>
    <w:rsid w:val="00077AE4"/>
    <w:rsid w:val="00085669"/>
    <w:rsid w:val="0009329A"/>
    <w:rsid w:val="000A4DA0"/>
    <w:rsid w:val="000B0179"/>
    <w:rsid w:val="000B135C"/>
    <w:rsid w:val="000B4F58"/>
    <w:rsid w:val="000E5DFA"/>
    <w:rsid w:val="000F13A3"/>
    <w:rsid w:val="000F190F"/>
    <w:rsid w:val="000F5C3F"/>
    <w:rsid w:val="00105F74"/>
    <w:rsid w:val="00123F77"/>
    <w:rsid w:val="0012556C"/>
    <w:rsid w:val="00134F82"/>
    <w:rsid w:val="0013749E"/>
    <w:rsid w:val="001376F2"/>
    <w:rsid w:val="00137C9D"/>
    <w:rsid w:val="00143D79"/>
    <w:rsid w:val="00150500"/>
    <w:rsid w:val="00152374"/>
    <w:rsid w:val="00155D30"/>
    <w:rsid w:val="00177522"/>
    <w:rsid w:val="0018371F"/>
    <w:rsid w:val="0018625B"/>
    <w:rsid w:val="001866A8"/>
    <w:rsid w:val="00191034"/>
    <w:rsid w:val="0019174D"/>
    <w:rsid w:val="001925FF"/>
    <w:rsid w:val="00194379"/>
    <w:rsid w:val="001A0A49"/>
    <w:rsid w:val="001A2812"/>
    <w:rsid w:val="001A354D"/>
    <w:rsid w:val="001A5341"/>
    <w:rsid w:val="001A575D"/>
    <w:rsid w:val="001B6DAF"/>
    <w:rsid w:val="001C4367"/>
    <w:rsid w:val="001D717D"/>
    <w:rsid w:val="001D781F"/>
    <w:rsid w:val="001E0B59"/>
    <w:rsid w:val="001F1A38"/>
    <w:rsid w:val="002041D8"/>
    <w:rsid w:val="002137FB"/>
    <w:rsid w:val="00237819"/>
    <w:rsid w:val="00242CFB"/>
    <w:rsid w:val="00256EDD"/>
    <w:rsid w:val="0026117F"/>
    <w:rsid w:val="00262BEF"/>
    <w:rsid w:val="00263023"/>
    <w:rsid w:val="0026708B"/>
    <w:rsid w:val="00282437"/>
    <w:rsid w:val="0028776E"/>
    <w:rsid w:val="002A5F50"/>
    <w:rsid w:val="002B1CA5"/>
    <w:rsid w:val="002C4097"/>
    <w:rsid w:val="002C518B"/>
    <w:rsid w:val="002D17E0"/>
    <w:rsid w:val="002D430F"/>
    <w:rsid w:val="002F36D5"/>
    <w:rsid w:val="002F4AF6"/>
    <w:rsid w:val="00314E9B"/>
    <w:rsid w:val="00316195"/>
    <w:rsid w:val="00320DB9"/>
    <w:rsid w:val="003214F2"/>
    <w:rsid w:val="0032183B"/>
    <w:rsid w:val="00321CB8"/>
    <w:rsid w:val="00330429"/>
    <w:rsid w:val="00346A26"/>
    <w:rsid w:val="00350E5F"/>
    <w:rsid w:val="00354AB7"/>
    <w:rsid w:val="0037514D"/>
    <w:rsid w:val="0039007F"/>
    <w:rsid w:val="003973AE"/>
    <w:rsid w:val="003A414E"/>
    <w:rsid w:val="003A581A"/>
    <w:rsid w:val="003B436E"/>
    <w:rsid w:val="003C358A"/>
    <w:rsid w:val="003D0FD5"/>
    <w:rsid w:val="003D1174"/>
    <w:rsid w:val="003D12E2"/>
    <w:rsid w:val="003E5E71"/>
    <w:rsid w:val="00417E6A"/>
    <w:rsid w:val="0042087D"/>
    <w:rsid w:val="00421C9E"/>
    <w:rsid w:val="00422FBC"/>
    <w:rsid w:val="00425E34"/>
    <w:rsid w:val="00433F60"/>
    <w:rsid w:val="004415DC"/>
    <w:rsid w:val="00446241"/>
    <w:rsid w:val="00447988"/>
    <w:rsid w:val="00452961"/>
    <w:rsid w:val="004552B9"/>
    <w:rsid w:val="004612F0"/>
    <w:rsid w:val="00462705"/>
    <w:rsid w:val="00463FFA"/>
    <w:rsid w:val="00470308"/>
    <w:rsid w:val="00472C62"/>
    <w:rsid w:val="00482BBA"/>
    <w:rsid w:val="004834DE"/>
    <w:rsid w:val="00483E66"/>
    <w:rsid w:val="00491668"/>
    <w:rsid w:val="00496264"/>
    <w:rsid w:val="004A2423"/>
    <w:rsid w:val="004B7075"/>
    <w:rsid w:val="004C09A3"/>
    <w:rsid w:val="004C4380"/>
    <w:rsid w:val="004E065D"/>
    <w:rsid w:val="004E5D28"/>
    <w:rsid w:val="004E799D"/>
    <w:rsid w:val="004F3555"/>
    <w:rsid w:val="004F5983"/>
    <w:rsid w:val="00501D8D"/>
    <w:rsid w:val="00520799"/>
    <w:rsid w:val="00523AC2"/>
    <w:rsid w:val="00524BAA"/>
    <w:rsid w:val="005269D7"/>
    <w:rsid w:val="00527890"/>
    <w:rsid w:val="00546A41"/>
    <w:rsid w:val="005866F1"/>
    <w:rsid w:val="00587230"/>
    <w:rsid w:val="00594246"/>
    <w:rsid w:val="005A00D8"/>
    <w:rsid w:val="005A3AFC"/>
    <w:rsid w:val="005A667D"/>
    <w:rsid w:val="005B6ABA"/>
    <w:rsid w:val="005B767B"/>
    <w:rsid w:val="005B7B38"/>
    <w:rsid w:val="005C3989"/>
    <w:rsid w:val="005C4D49"/>
    <w:rsid w:val="005F2F66"/>
    <w:rsid w:val="005F5F4D"/>
    <w:rsid w:val="00604B6C"/>
    <w:rsid w:val="0061237F"/>
    <w:rsid w:val="00612A22"/>
    <w:rsid w:val="00620711"/>
    <w:rsid w:val="00622BC1"/>
    <w:rsid w:val="00625147"/>
    <w:rsid w:val="00635D2F"/>
    <w:rsid w:val="00637A76"/>
    <w:rsid w:val="00642A79"/>
    <w:rsid w:val="0065106A"/>
    <w:rsid w:val="00653BC9"/>
    <w:rsid w:val="006654A3"/>
    <w:rsid w:val="00666BF5"/>
    <w:rsid w:val="00666F8A"/>
    <w:rsid w:val="00682B9E"/>
    <w:rsid w:val="006944FA"/>
    <w:rsid w:val="006A3191"/>
    <w:rsid w:val="006A44D4"/>
    <w:rsid w:val="006C00AA"/>
    <w:rsid w:val="006C3D93"/>
    <w:rsid w:val="006C4848"/>
    <w:rsid w:val="006C659B"/>
    <w:rsid w:val="006E4791"/>
    <w:rsid w:val="006F19D9"/>
    <w:rsid w:val="007009AF"/>
    <w:rsid w:val="007132D5"/>
    <w:rsid w:val="0072507D"/>
    <w:rsid w:val="00735AFB"/>
    <w:rsid w:val="00737463"/>
    <w:rsid w:val="00741CD4"/>
    <w:rsid w:val="007429BE"/>
    <w:rsid w:val="00745AAA"/>
    <w:rsid w:val="00746CC5"/>
    <w:rsid w:val="00750F5A"/>
    <w:rsid w:val="00756ABB"/>
    <w:rsid w:val="00760BEF"/>
    <w:rsid w:val="00767E91"/>
    <w:rsid w:val="00770462"/>
    <w:rsid w:val="00771E56"/>
    <w:rsid w:val="007975B0"/>
    <w:rsid w:val="007A1720"/>
    <w:rsid w:val="007B635C"/>
    <w:rsid w:val="007E17C9"/>
    <w:rsid w:val="00807063"/>
    <w:rsid w:val="0081033E"/>
    <w:rsid w:val="00811FAE"/>
    <w:rsid w:val="00820B04"/>
    <w:rsid w:val="008212B0"/>
    <w:rsid w:val="00823231"/>
    <w:rsid w:val="00836B87"/>
    <w:rsid w:val="008372CF"/>
    <w:rsid w:val="008408F3"/>
    <w:rsid w:val="00842E02"/>
    <w:rsid w:val="00844540"/>
    <w:rsid w:val="00846490"/>
    <w:rsid w:val="0085273D"/>
    <w:rsid w:val="0085292F"/>
    <w:rsid w:val="008557E8"/>
    <w:rsid w:val="00861DD1"/>
    <w:rsid w:val="00862D6F"/>
    <w:rsid w:val="00863180"/>
    <w:rsid w:val="00863C98"/>
    <w:rsid w:val="00863EB5"/>
    <w:rsid w:val="00871199"/>
    <w:rsid w:val="00874C37"/>
    <w:rsid w:val="0088682F"/>
    <w:rsid w:val="00896C1C"/>
    <w:rsid w:val="008C4265"/>
    <w:rsid w:val="008C6067"/>
    <w:rsid w:val="008D69DE"/>
    <w:rsid w:val="008E643B"/>
    <w:rsid w:val="008F7B2C"/>
    <w:rsid w:val="009140D7"/>
    <w:rsid w:val="0091460E"/>
    <w:rsid w:val="009231A1"/>
    <w:rsid w:val="0092764F"/>
    <w:rsid w:val="0092772B"/>
    <w:rsid w:val="0093722B"/>
    <w:rsid w:val="00944898"/>
    <w:rsid w:val="00944BFB"/>
    <w:rsid w:val="00951245"/>
    <w:rsid w:val="0096281D"/>
    <w:rsid w:val="00972846"/>
    <w:rsid w:val="009754C2"/>
    <w:rsid w:val="00993CEA"/>
    <w:rsid w:val="00996FAE"/>
    <w:rsid w:val="009E01FA"/>
    <w:rsid w:val="009E13A5"/>
    <w:rsid w:val="009F0C11"/>
    <w:rsid w:val="00A010B1"/>
    <w:rsid w:val="00A05DB3"/>
    <w:rsid w:val="00A333F6"/>
    <w:rsid w:val="00A41DC4"/>
    <w:rsid w:val="00A566CB"/>
    <w:rsid w:val="00A57F3B"/>
    <w:rsid w:val="00A57F80"/>
    <w:rsid w:val="00A7617F"/>
    <w:rsid w:val="00A81ECE"/>
    <w:rsid w:val="00A83D70"/>
    <w:rsid w:val="00A858C9"/>
    <w:rsid w:val="00A87451"/>
    <w:rsid w:val="00A91D80"/>
    <w:rsid w:val="00A94F67"/>
    <w:rsid w:val="00AB37BA"/>
    <w:rsid w:val="00AB5093"/>
    <w:rsid w:val="00AB54F5"/>
    <w:rsid w:val="00AD52BA"/>
    <w:rsid w:val="00AF7BDF"/>
    <w:rsid w:val="00B02349"/>
    <w:rsid w:val="00B051A5"/>
    <w:rsid w:val="00B12E09"/>
    <w:rsid w:val="00B174A0"/>
    <w:rsid w:val="00B20AB8"/>
    <w:rsid w:val="00B31979"/>
    <w:rsid w:val="00B40782"/>
    <w:rsid w:val="00B46F00"/>
    <w:rsid w:val="00B56AF8"/>
    <w:rsid w:val="00B60749"/>
    <w:rsid w:val="00B72D1F"/>
    <w:rsid w:val="00B82AF8"/>
    <w:rsid w:val="00B82C14"/>
    <w:rsid w:val="00BA0B4A"/>
    <w:rsid w:val="00BA2A88"/>
    <w:rsid w:val="00BB70BD"/>
    <w:rsid w:val="00BD1D90"/>
    <w:rsid w:val="00BE001E"/>
    <w:rsid w:val="00BE03D7"/>
    <w:rsid w:val="00BF6C19"/>
    <w:rsid w:val="00C118C7"/>
    <w:rsid w:val="00C1271C"/>
    <w:rsid w:val="00C22129"/>
    <w:rsid w:val="00C238CB"/>
    <w:rsid w:val="00C2763C"/>
    <w:rsid w:val="00C279AA"/>
    <w:rsid w:val="00C4784B"/>
    <w:rsid w:val="00C66CA5"/>
    <w:rsid w:val="00C670EF"/>
    <w:rsid w:val="00C82A7B"/>
    <w:rsid w:val="00C870AC"/>
    <w:rsid w:val="00C91C13"/>
    <w:rsid w:val="00C96F50"/>
    <w:rsid w:val="00C9714A"/>
    <w:rsid w:val="00CB4B3B"/>
    <w:rsid w:val="00CE275C"/>
    <w:rsid w:val="00CF7355"/>
    <w:rsid w:val="00D00B6C"/>
    <w:rsid w:val="00D04532"/>
    <w:rsid w:val="00D0462F"/>
    <w:rsid w:val="00D10A26"/>
    <w:rsid w:val="00D16190"/>
    <w:rsid w:val="00D22864"/>
    <w:rsid w:val="00D234D6"/>
    <w:rsid w:val="00D34FDA"/>
    <w:rsid w:val="00D42DC2"/>
    <w:rsid w:val="00D43CDF"/>
    <w:rsid w:val="00D60A43"/>
    <w:rsid w:val="00D6150F"/>
    <w:rsid w:val="00D64AF8"/>
    <w:rsid w:val="00D74DDC"/>
    <w:rsid w:val="00D86506"/>
    <w:rsid w:val="00D90CEE"/>
    <w:rsid w:val="00D965FB"/>
    <w:rsid w:val="00DA09E0"/>
    <w:rsid w:val="00DA2CF3"/>
    <w:rsid w:val="00DA57C1"/>
    <w:rsid w:val="00DB40DF"/>
    <w:rsid w:val="00DB5662"/>
    <w:rsid w:val="00DB5689"/>
    <w:rsid w:val="00DB5C61"/>
    <w:rsid w:val="00DB64B5"/>
    <w:rsid w:val="00DC118D"/>
    <w:rsid w:val="00DC21BC"/>
    <w:rsid w:val="00DC3A46"/>
    <w:rsid w:val="00DD22F5"/>
    <w:rsid w:val="00DD4351"/>
    <w:rsid w:val="00DE31E0"/>
    <w:rsid w:val="00DF67E1"/>
    <w:rsid w:val="00E030E2"/>
    <w:rsid w:val="00E3228F"/>
    <w:rsid w:val="00E526BD"/>
    <w:rsid w:val="00E74683"/>
    <w:rsid w:val="00E96C26"/>
    <w:rsid w:val="00EA2D11"/>
    <w:rsid w:val="00EB0243"/>
    <w:rsid w:val="00EB08D0"/>
    <w:rsid w:val="00EB3747"/>
    <w:rsid w:val="00EC0252"/>
    <w:rsid w:val="00EC2029"/>
    <w:rsid w:val="00EC39D6"/>
    <w:rsid w:val="00ED06B3"/>
    <w:rsid w:val="00ED7E01"/>
    <w:rsid w:val="00EE14D4"/>
    <w:rsid w:val="00EE3076"/>
    <w:rsid w:val="00EE73AE"/>
    <w:rsid w:val="00EF2F65"/>
    <w:rsid w:val="00EF453B"/>
    <w:rsid w:val="00F24B27"/>
    <w:rsid w:val="00F32AF7"/>
    <w:rsid w:val="00F339D6"/>
    <w:rsid w:val="00F4621E"/>
    <w:rsid w:val="00F52273"/>
    <w:rsid w:val="00F52581"/>
    <w:rsid w:val="00F621E9"/>
    <w:rsid w:val="00F645CF"/>
    <w:rsid w:val="00F65B40"/>
    <w:rsid w:val="00F758FC"/>
    <w:rsid w:val="00F853A1"/>
    <w:rsid w:val="00F941B2"/>
    <w:rsid w:val="00FA7E8B"/>
    <w:rsid w:val="00FB3A6B"/>
    <w:rsid w:val="00FB5FAC"/>
    <w:rsid w:val="00FD55C0"/>
    <w:rsid w:val="00FE3690"/>
    <w:rsid w:val="00FE4689"/>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38CD"/>
  <w15:docId w15:val="{B5FA6056-D563-4748-81ED-6B607C18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16190"/>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619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D16190"/>
    <w:pPr>
      <w:keepNext/>
      <w:spacing w:before="240" w:after="120"/>
    </w:pPr>
    <w:rPr>
      <w:rFonts w:ascii="Arial" w:hAnsi="Arial"/>
      <w:sz w:val="28"/>
      <w:szCs w:val="28"/>
    </w:rPr>
  </w:style>
  <w:style w:type="paragraph" w:customStyle="1" w:styleId="Textbody">
    <w:name w:val="Text body"/>
    <w:basedOn w:val="Standard"/>
    <w:rsid w:val="00D16190"/>
    <w:pPr>
      <w:spacing w:after="120"/>
    </w:pPr>
  </w:style>
  <w:style w:type="paragraph" w:styleId="List">
    <w:name w:val="List"/>
    <w:basedOn w:val="Textbody"/>
    <w:rsid w:val="00D16190"/>
  </w:style>
  <w:style w:type="paragraph" w:styleId="Caption">
    <w:name w:val="caption"/>
    <w:basedOn w:val="Standard"/>
    <w:rsid w:val="00D16190"/>
    <w:pPr>
      <w:suppressLineNumbers/>
      <w:spacing w:before="120" w:after="120"/>
    </w:pPr>
    <w:rPr>
      <w:i/>
      <w:iCs/>
    </w:rPr>
  </w:style>
  <w:style w:type="paragraph" w:customStyle="1" w:styleId="Index">
    <w:name w:val="Index"/>
    <w:basedOn w:val="Standard"/>
    <w:rsid w:val="00D16190"/>
    <w:pPr>
      <w:suppressLineNumbers/>
    </w:pPr>
  </w:style>
  <w:style w:type="paragraph" w:styleId="Header">
    <w:name w:val="header"/>
    <w:basedOn w:val="Normal"/>
    <w:rsid w:val="00D16190"/>
    <w:pPr>
      <w:tabs>
        <w:tab w:val="center" w:pos="4680"/>
        <w:tab w:val="right" w:pos="9360"/>
      </w:tabs>
    </w:pPr>
    <w:rPr>
      <w:rFonts w:cs="Mangal"/>
      <w:szCs w:val="21"/>
    </w:rPr>
  </w:style>
  <w:style w:type="character" w:customStyle="1" w:styleId="HeaderChar">
    <w:name w:val="Header Char"/>
    <w:basedOn w:val="DefaultParagraphFont"/>
    <w:rsid w:val="00D16190"/>
    <w:rPr>
      <w:rFonts w:cs="Mangal"/>
      <w:szCs w:val="21"/>
    </w:rPr>
  </w:style>
  <w:style w:type="paragraph" w:styleId="Footer">
    <w:name w:val="footer"/>
    <w:basedOn w:val="Normal"/>
    <w:uiPriority w:val="99"/>
    <w:rsid w:val="00D16190"/>
    <w:pPr>
      <w:tabs>
        <w:tab w:val="center" w:pos="4680"/>
        <w:tab w:val="right" w:pos="9360"/>
      </w:tabs>
    </w:pPr>
    <w:rPr>
      <w:rFonts w:cs="Mangal"/>
      <w:szCs w:val="21"/>
    </w:rPr>
  </w:style>
  <w:style w:type="character" w:customStyle="1" w:styleId="FooterChar">
    <w:name w:val="Footer Char"/>
    <w:basedOn w:val="DefaultParagraphFont"/>
    <w:uiPriority w:val="99"/>
    <w:rsid w:val="00D16190"/>
    <w:rPr>
      <w:rFonts w:cs="Mangal"/>
      <w:szCs w:val="21"/>
    </w:rPr>
  </w:style>
  <w:style w:type="paragraph" w:customStyle="1" w:styleId="Default">
    <w:name w:val="Default"/>
    <w:rsid w:val="00D60A43"/>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48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023"/>
    <w:rPr>
      <w:rFonts w:ascii="Tahoma" w:hAnsi="Tahoma" w:cs="Mangal"/>
      <w:sz w:val="16"/>
      <w:szCs w:val="14"/>
    </w:rPr>
  </w:style>
  <w:style w:type="character" w:customStyle="1" w:styleId="BalloonTextChar">
    <w:name w:val="Balloon Text Char"/>
    <w:basedOn w:val="DefaultParagraphFont"/>
    <w:link w:val="BalloonText"/>
    <w:uiPriority w:val="99"/>
    <w:semiHidden/>
    <w:rsid w:val="00263023"/>
    <w:rPr>
      <w:rFonts w:ascii="Tahoma" w:hAnsi="Tahoma" w:cs="Mangal"/>
      <w:kern w:val="3"/>
      <w:sz w:val="16"/>
      <w:szCs w:val="14"/>
      <w:lang w:eastAsia="zh-CN" w:bidi="hi-IN"/>
    </w:rPr>
  </w:style>
  <w:style w:type="paragraph" w:styleId="ListParagraph">
    <w:name w:val="List Paragraph"/>
    <w:basedOn w:val="Normal"/>
    <w:uiPriority w:val="34"/>
    <w:qFormat/>
    <w:rsid w:val="005C3989"/>
    <w:pPr>
      <w:widowControl/>
      <w:suppressAutoHyphens w:val="0"/>
      <w:autoSpaceDN/>
      <w:ind w:left="720"/>
      <w:contextualSpacing/>
      <w:textAlignment w:val="auto"/>
    </w:pPr>
    <w:rPr>
      <w:rFonts w:eastAsia="Times New Roman" w:cs="Times New Roman"/>
      <w:kern w:val="0"/>
      <w:lang w:eastAsia="en-US" w:bidi="ar-SA"/>
    </w:rPr>
  </w:style>
  <w:style w:type="paragraph" w:styleId="FootnoteText">
    <w:name w:val="footnote text"/>
    <w:basedOn w:val="Normal"/>
    <w:link w:val="FootnoteTextChar"/>
    <w:uiPriority w:val="99"/>
    <w:semiHidden/>
    <w:unhideWhenUsed/>
    <w:rsid w:val="009E01FA"/>
    <w:rPr>
      <w:rFonts w:cs="Mangal"/>
      <w:sz w:val="20"/>
      <w:szCs w:val="18"/>
    </w:rPr>
  </w:style>
  <w:style w:type="character" w:customStyle="1" w:styleId="FootnoteTextChar">
    <w:name w:val="Footnote Text Char"/>
    <w:basedOn w:val="DefaultParagraphFont"/>
    <w:link w:val="FootnoteText"/>
    <w:uiPriority w:val="99"/>
    <w:semiHidden/>
    <w:rsid w:val="009E01FA"/>
    <w:rPr>
      <w:rFonts w:cs="Mangal"/>
      <w:kern w:val="3"/>
      <w:szCs w:val="18"/>
      <w:lang w:eastAsia="zh-CN" w:bidi="hi-IN"/>
    </w:rPr>
  </w:style>
  <w:style w:type="character" w:styleId="FootnoteReference">
    <w:name w:val="footnote reference"/>
    <w:basedOn w:val="DefaultParagraphFont"/>
    <w:uiPriority w:val="99"/>
    <w:semiHidden/>
    <w:unhideWhenUsed/>
    <w:rsid w:val="009E0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9477">
      <w:bodyDiv w:val="1"/>
      <w:marLeft w:val="0"/>
      <w:marRight w:val="0"/>
      <w:marTop w:val="0"/>
      <w:marBottom w:val="0"/>
      <w:divBdr>
        <w:top w:val="none" w:sz="0" w:space="0" w:color="auto"/>
        <w:left w:val="none" w:sz="0" w:space="0" w:color="auto"/>
        <w:bottom w:val="none" w:sz="0" w:space="0" w:color="auto"/>
        <w:right w:val="none" w:sz="0" w:space="0" w:color="auto"/>
      </w:divBdr>
      <w:divsChild>
        <w:div w:id="1769109306">
          <w:marLeft w:val="547"/>
          <w:marRight w:val="0"/>
          <w:marTop w:val="115"/>
          <w:marBottom w:val="120"/>
          <w:divBdr>
            <w:top w:val="none" w:sz="0" w:space="0" w:color="auto"/>
            <w:left w:val="none" w:sz="0" w:space="0" w:color="auto"/>
            <w:bottom w:val="none" w:sz="0" w:space="0" w:color="auto"/>
            <w:right w:val="none" w:sz="0" w:space="0" w:color="auto"/>
          </w:divBdr>
        </w:div>
      </w:divsChild>
    </w:div>
    <w:div w:id="1084182951">
      <w:bodyDiv w:val="1"/>
      <w:marLeft w:val="0"/>
      <w:marRight w:val="0"/>
      <w:marTop w:val="0"/>
      <w:marBottom w:val="0"/>
      <w:divBdr>
        <w:top w:val="none" w:sz="0" w:space="0" w:color="auto"/>
        <w:left w:val="none" w:sz="0" w:space="0" w:color="auto"/>
        <w:bottom w:val="none" w:sz="0" w:space="0" w:color="auto"/>
        <w:right w:val="none" w:sz="0" w:space="0" w:color="auto"/>
      </w:divBdr>
    </w:div>
    <w:div w:id="1273781920">
      <w:bodyDiv w:val="1"/>
      <w:marLeft w:val="0"/>
      <w:marRight w:val="0"/>
      <w:marTop w:val="0"/>
      <w:marBottom w:val="0"/>
      <w:divBdr>
        <w:top w:val="none" w:sz="0" w:space="0" w:color="auto"/>
        <w:left w:val="none" w:sz="0" w:space="0" w:color="auto"/>
        <w:bottom w:val="none" w:sz="0" w:space="0" w:color="auto"/>
        <w:right w:val="none" w:sz="0" w:space="0" w:color="auto"/>
      </w:divBdr>
      <w:divsChild>
        <w:div w:id="1328438290">
          <w:marLeft w:val="547"/>
          <w:marRight w:val="0"/>
          <w:marTop w:val="115"/>
          <w:marBottom w:val="120"/>
          <w:divBdr>
            <w:top w:val="none" w:sz="0" w:space="0" w:color="auto"/>
            <w:left w:val="none" w:sz="0" w:space="0" w:color="auto"/>
            <w:bottom w:val="none" w:sz="0" w:space="0" w:color="auto"/>
            <w:right w:val="none" w:sz="0" w:space="0" w:color="auto"/>
          </w:divBdr>
        </w:div>
      </w:divsChild>
    </w:div>
    <w:div w:id="1408846908">
      <w:bodyDiv w:val="1"/>
      <w:marLeft w:val="0"/>
      <w:marRight w:val="0"/>
      <w:marTop w:val="0"/>
      <w:marBottom w:val="0"/>
      <w:divBdr>
        <w:top w:val="none" w:sz="0" w:space="0" w:color="auto"/>
        <w:left w:val="none" w:sz="0" w:space="0" w:color="auto"/>
        <w:bottom w:val="none" w:sz="0" w:space="0" w:color="auto"/>
        <w:right w:val="none" w:sz="0" w:space="0" w:color="auto"/>
      </w:divBdr>
    </w:div>
    <w:div w:id="1594781468">
      <w:bodyDiv w:val="1"/>
      <w:marLeft w:val="0"/>
      <w:marRight w:val="0"/>
      <w:marTop w:val="0"/>
      <w:marBottom w:val="0"/>
      <w:divBdr>
        <w:top w:val="none" w:sz="0" w:space="0" w:color="auto"/>
        <w:left w:val="none" w:sz="0" w:space="0" w:color="auto"/>
        <w:bottom w:val="none" w:sz="0" w:space="0" w:color="auto"/>
        <w:right w:val="none" w:sz="0" w:space="0" w:color="auto"/>
      </w:divBdr>
    </w:div>
    <w:div w:id="1795908006">
      <w:bodyDiv w:val="1"/>
      <w:marLeft w:val="0"/>
      <w:marRight w:val="0"/>
      <w:marTop w:val="0"/>
      <w:marBottom w:val="0"/>
      <w:divBdr>
        <w:top w:val="none" w:sz="0" w:space="0" w:color="auto"/>
        <w:left w:val="none" w:sz="0" w:space="0" w:color="auto"/>
        <w:bottom w:val="none" w:sz="0" w:space="0" w:color="auto"/>
        <w:right w:val="none" w:sz="0" w:space="0" w:color="auto"/>
      </w:divBdr>
    </w:div>
    <w:div w:id="1857889032">
      <w:bodyDiv w:val="1"/>
      <w:marLeft w:val="0"/>
      <w:marRight w:val="0"/>
      <w:marTop w:val="0"/>
      <w:marBottom w:val="0"/>
      <w:divBdr>
        <w:top w:val="none" w:sz="0" w:space="0" w:color="auto"/>
        <w:left w:val="none" w:sz="0" w:space="0" w:color="auto"/>
        <w:bottom w:val="none" w:sz="0" w:space="0" w:color="auto"/>
        <w:right w:val="none" w:sz="0" w:space="0" w:color="auto"/>
      </w:divBdr>
      <w:divsChild>
        <w:div w:id="1448230235">
          <w:marLeft w:val="547"/>
          <w:marRight w:val="0"/>
          <w:marTop w:val="115"/>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A2AB-C380-419B-86CB-7AA41F98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SStreicker</dc:creator>
  <cp:lastModifiedBy>Robert Lane</cp:lastModifiedBy>
  <cp:revision>4</cp:revision>
  <cp:lastPrinted>2016-02-05T21:51:00Z</cp:lastPrinted>
  <dcterms:created xsi:type="dcterms:W3CDTF">2020-07-20T16:55:00Z</dcterms:created>
  <dcterms:modified xsi:type="dcterms:W3CDTF">2020-07-20T18:45:00Z</dcterms:modified>
</cp:coreProperties>
</file>