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D2D" w:rsidRPr="00714D2D" w:rsidRDefault="00714D2D" w:rsidP="00714D2D">
      <w:pPr>
        <w:jc w:val="center"/>
        <w:rPr>
          <w:b/>
          <w:u w:val="single"/>
        </w:rPr>
      </w:pPr>
    </w:p>
    <w:tbl>
      <w:tblPr>
        <w:tblStyle w:val="TableGrid11"/>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939"/>
      </w:tblGrid>
      <w:tr w:rsidR="00997A45" w:rsidRPr="002F0EB8" w:rsidTr="00CD7284">
        <w:tc>
          <w:tcPr>
            <w:tcW w:w="4601" w:type="dxa"/>
          </w:tcPr>
          <w:p w:rsidR="00997A45" w:rsidRPr="002F0EB8" w:rsidRDefault="00997A45" w:rsidP="00CD7284">
            <w:pPr>
              <w:rPr>
                <w:rFonts w:ascii="Century Schoolbook" w:eastAsia="Times New Roman" w:hAnsi="Century Schoolbook"/>
              </w:rPr>
            </w:pPr>
            <w:r w:rsidRPr="002F0EB8">
              <w:rPr>
                <w:rFonts w:ascii="Century Schoolbook" w:eastAsia="Times New Roman" w:hAnsi="Century Schoolbook"/>
              </w:rPr>
              <w:t>STATE OF NORTH CAROLINA</w:t>
            </w:r>
          </w:p>
          <w:p w:rsidR="00997A45" w:rsidRPr="002F0EB8" w:rsidRDefault="00997A45" w:rsidP="00CD7284">
            <w:pPr>
              <w:rPr>
                <w:rFonts w:ascii="Century Schoolbook" w:eastAsia="Times New Roman" w:hAnsi="Century Schoolbook"/>
              </w:rPr>
            </w:pPr>
          </w:p>
          <w:p w:rsidR="00997A45" w:rsidRPr="002F0EB8" w:rsidRDefault="00997A45" w:rsidP="00CD7284">
            <w:pPr>
              <w:spacing w:line="360" w:lineRule="auto"/>
              <w:rPr>
                <w:rFonts w:ascii="Century Schoolbook" w:eastAsia="Times New Roman" w:hAnsi="Century Schoolbook"/>
              </w:rPr>
            </w:pPr>
            <w:r w:rsidRPr="002F0EB8">
              <w:rPr>
                <w:rFonts w:ascii="Century Schoolbook" w:eastAsia="Times New Roman" w:hAnsi="Century Schoolbook"/>
              </w:rPr>
              <w:t>CABARRUS COUNTY</w:t>
            </w:r>
          </w:p>
        </w:tc>
        <w:tc>
          <w:tcPr>
            <w:tcW w:w="4939" w:type="dxa"/>
          </w:tcPr>
          <w:p w:rsidR="00997A45" w:rsidRPr="002F0EB8" w:rsidRDefault="00997A45" w:rsidP="00CD7284">
            <w:pPr>
              <w:jc w:val="center"/>
              <w:rPr>
                <w:rFonts w:ascii="Century Schoolbook" w:eastAsia="Times New Roman" w:hAnsi="Century Schoolbook"/>
              </w:rPr>
            </w:pPr>
            <w:r w:rsidRPr="002F0EB8">
              <w:rPr>
                <w:rFonts w:ascii="Century Schoolbook" w:eastAsia="Times New Roman" w:hAnsi="Century Schoolbook"/>
              </w:rPr>
              <w:t>IN THE GENERAL COURT OF JUSTICE</w:t>
            </w:r>
          </w:p>
          <w:p w:rsidR="00997A45" w:rsidRPr="002F0EB8" w:rsidRDefault="00997A45" w:rsidP="00CD7284">
            <w:pPr>
              <w:jc w:val="center"/>
              <w:rPr>
                <w:rFonts w:ascii="Century Schoolbook" w:eastAsia="Times New Roman" w:hAnsi="Century Schoolbook"/>
              </w:rPr>
            </w:pPr>
            <w:r w:rsidRPr="002F0EB8">
              <w:rPr>
                <w:rFonts w:ascii="Century Schoolbook" w:eastAsia="Times New Roman" w:hAnsi="Century Schoolbook"/>
              </w:rPr>
              <w:t>SUPERIOR COURT DIVISION</w:t>
            </w:r>
          </w:p>
          <w:p w:rsidR="00997A45" w:rsidRPr="002F0EB8" w:rsidRDefault="00997A45" w:rsidP="00CD7284">
            <w:pPr>
              <w:jc w:val="center"/>
              <w:rPr>
                <w:rFonts w:ascii="Century Schoolbook" w:eastAsia="Times New Roman" w:hAnsi="Century Schoolbook"/>
              </w:rPr>
            </w:pPr>
            <w:r w:rsidRPr="002F0EB8">
              <w:rPr>
                <w:rFonts w:ascii="Century Schoolbook" w:eastAsia="Times New Roman" w:hAnsi="Century Schoolbook"/>
              </w:rPr>
              <w:t>24 CVS 454</w:t>
            </w:r>
          </w:p>
          <w:p w:rsidR="00997A45" w:rsidRPr="002F0EB8" w:rsidRDefault="00997A45" w:rsidP="00CD7284">
            <w:pPr>
              <w:jc w:val="center"/>
              <w:rPr>
                <w:rFonts w:ascii="Century Schoolbook" w:eastAsia="Times New Roman" w:hAnsi="Century Schoolbook"/>
              </w:rPr>
            </w:pPr>
          </w:p>
        </w:tc>
      </w:tr>
      <w:tr w:rsidR="00997A45" w:rsidRPr="002F0EB8" w:rsidTr="00CD7284">
        <w:tc>
          <w:tcPr>
            <w:tcW w:w="4601" w:type="dxa"/>
            <w:tcBorders>
              <w:bottom w:val="single" w:sz="4" w:space="0" w:color="auto"/>
              <w:right w:val="single" w:sz="4" w:space="0" w:color="auto"/>
            </w:tcBorders>
          </w:tcPr>
          <w:p w:rsidR="00997A45" w:rsidRPr="002F0EB8" w:rsidRDefault="00997A45" w:rsidP="00CD7284">
            <w:pPr>
              <w:rPr>
                <w:rFonts w:ascii="Century Schoolbook" w:eastAsia="Times New Roman" w:hAnsi="Century Schoolbook"/>
              </w:rPr>
            </w:pPr>
            <w:r w:rsidRPr="002F0EB8">
              <w:rPr>
                <w:rFonts w:ascii="Century Schoolbook" w:eastAsia="Times New Roman" w:hAnsi="Century Schoolbook"/>
              </w:rPr>
              <w:t>IN THE MATTER OF:</w:t>
            </w:r>
          </w:p>
          <w:p w:rsidR="00997A45" w:rsidRPr="002F0EB8" w:rsidRDefault="00997A45" w:rsidP="00CD7284">
            <w:pPr>
              <w:rPr>
                <w:rFonts w:ascii="Century Schoolbook" w:eastAsia="Times New Roman" w:hAnsi="Century Schoolbook"/>
              </w:rPr>
            </w:pPr>
          </w:p>
          <w:p w:rsidR="00997A45" w:rsidRPr="002F0EB8" w:rsidRDefault="00997A45" w:rsidP="00CD7284">
            <w:pPr>
              <w:rPr>
                <w:rFonts w:ascii="Century Schoolbook" w:eastAsia="Times New Roman" w:hAnsi="Century Schoolbook"/>
                <w:bCs/>
              </w:rPr>
            </w:pPr>
            <w:r w:rsidRPr="002F0EB8">
              <w:rPr>
                <w:rFonts w:ascii="Century Schoolbook" w:eastAsia="Times New Roman" w:hAnsi="Century Schoolbook"/>
                <w:bCs/>
              </w:rPr>
              <w:t xml:space="preserve">THE TRUST (#212) FOR CHARLES A. CANNON, III, CREATED UNDER THE WILL AND CODICILS OF RUTH COLTRANE CANNON </w:t>
            </w:r>
          </w:p>
          <w:p w:rsidR="00997A45" w:rsidRPr="002F0EB8" w:rsidRDefault="00997A45" w:rsidP="00CD7284">
            <w:pPr>
              <w:rPr>
                <w:rFonts w:ascii="Century Schoolbook" w:eastAsia="Times New Roman" w:hAnsi="Century Schoolbook"/>
              </w:rPr>
            </w:pPr>
          </w:p>
          <w:p w:rsidR="00997A45" w:rsidRPr="002F0EB8" w:rsidRDefault="00997A45" w:rsidP="00CD7284">
            <w:pPr>
              <w:rPr>
                <w:rFonts w:ascii="Century Schoolbook" w:eastAsia="Times New Roman" w:hAnsi="Century Schoolbook"/>
              </w:rPr>
            </w:pPr>
            <w:r w:rsidRPr="002F0EB8">
              <w:rPr>
                <w:rFonts w:ascii="Century Schoolbook" w:eastAsia="Times New Roman" w:hAnsi="Century Schoolbook"/>
              </w:rPr>
              <w:t>INTERESTED PARTIES:</w:t>
            </w:r>
          </w:p>
          <w:p w:rsidR="00997A45" w:rsidRPr="002F0EB8" w:rsidRDefault="00997A45" w:rsidP="00CD7284">
            <w:pPr>
              <w:rPr>
                <w:rFonts w:ascii="Century Schoolbook" w:eastAsia="Times New Roman" w:hAnsi="Century Schoolbook"/>
              </w:rPr>
            </w:pPr>
          </w:p>
          <w:p w:rsidR="00997A45" w:rsidRPr="002F0EB8" w:rsidRDefault="00997A45" w:rsidP="00CD7284">
            <w:pPr>
              <w:rPr>
                <w:rFonts w:ascii="Century Schoolbook" w:eastAsia="Times New Roman" w:hAnsi="Century Schoolbook"/>
                <w:bCs/>
              </w:rPr>
            </w:pPr>
            <w:r w:rsidRPr="002F0EB8">
              <w:rPr>
                <w:rFonts w:ascii="Century Schoolbook" w:eastAsia="Times New Roman" w:hAnsi="Century Schoolbook"/>
                <w:bCs/>
              </w:rPr>
              <w:t>THE CHARLOTTE-MECKLENBURG HOSPITAL AUTHORITY d/b/a ATRIUM HEALTH</w:t>
            </w:r>
          </w:p>
          <w:p w:rsidR="00997A45" w:rsidRPr="002F0EB8" w:rsidRDefault="00997A45" w:rsidP="00CD7284">
            <w:pPr>
              <w:rPr>
                <w:rFonts w:ascii="Century Schoolbook" w:eastAsia="Times New Roman" w:hAnsi="Century Schoolbook"/>
              </w:rPr>
            </w:pPr>
          </w:p>
          <w:p w:rsidR="00997A45" w:rsidRPr="002F0EB8" w:rsidRDefault="00997A45" w:rsidP="00CD7284">
            <w:pPr>
              <w:rPr>
                <w:rFonts w:ascii="Century Schoolbook" w:eastAsia="Times New Roman" w:hAnsi="Century Schoolbook"/>
              </w:rPr>
            </w:pPr>
            <w:r w:rsidRPr="002F0EB8">
              <w:rPr>
                <w:rFonts w:ascii="Century Schoolbook" w:eastAsia="Times New Roman" w:hAnsi="Century Schoolbook"/>
              </w:rPr>
              <w:t>JOSHUA H. STEIN, in his capacity as Attorney General of the State of North Carolina</w:t>
            </w:r>
          </w:p>
          <w:p w:rsidR="00997A45" w:rsidRPr="002F0EB8" w:rsidRDefault="00997A45" w:rsidP="00CD7284">
            <w:pPr>
              <w:rPr>
                <w:rFonts w:ascii="Century Schoolbook" w:eastAsia="Times New Roman" w:hAnsi="Century Schoolbook"/>
              </w:rPr>
            </w:pPr>
          </w:p>
        </w:tc>
        <w:tc>
          <w:tcPr>
            <w:tcW w:w="4939" w:type="dxa"/>
            <w:tcBorders>
              <w:left w:val="single" w:sz="4" w:space="0" w:color="auto"/>
            </w:tcBorders>
            <w:vAlign w:val="center"/>
          </w:tcPr>
          <w:p w:rsidR="00997A45" w:rsidRPr="002F0EB8" w:rsidRDefault="00997A45" w:rsidP="00CD7284">
            <w:pPr>
              <w:jc w:val="center"/>
              <w:rPr>
                <w:rFonts w:ascii="Century Schoolbook" w:eastAsia="Times New Roman" w:hAnsi="Century Schoolbook"/>
                <w:b/>
                <w:bCs/>
              </w:rPr>
            </w:pPr>
          </w:p>
          <w:p w:rsidR="00997A45" w:rsidRPr="002F0EB8" w:rsidRDefault="00997A45" w:rsidP="00CD7284">
            <w:pPr>
              <w:jc w:val="center"/>
              <w:rPr>
                <w:rFonts w:ascii="Century Schoolbook" w:eastAsia="Times New Roman" w:hAnsi="Century Schoolbook"/>
                <w:b/>
                <w:bCs/>
              </w:rPr>
            </w:pPr>
          </w:p>
          <w:p w:rsidR="00997A45" w:rsidRPr="002F0EB8" w:rsidRDefault="00997A45" w:rsidP="00CD7284">
            <w:pPr>
              <w:jc w:val="center"/>
              <w:rPr>
                <w:rFonts w:ascii="Century Schoolbook" w:eastAsia="Times New Roman" w:hAnsi="Century Schoolbook"/>
                <w:b/>
                <w:bCs/>
              </w:rPr>
            </w:pPr>
          </w:p>
          <w:p w:rsidR="003C0786" w:rsidRDefault="00997A45" w:rsidP="003C0786">
            <w:pPr>
              <w:jc w:val="center"/>
              <w:rPr>
                <w:rFonts w:ascii="Century Schoolbook" w:eastAsia="Times New Roman" w:hAnsi="Century Schoolbook"/>
                <w:b/>
                <w:bCs/>
              </w:rPr>
            </w:pPr>
            <w:r w:rsidRPr="002F0EB8">
              <w:rPr>
                <w:rFonts w:ascii="Century Schoolbook" w:eastAsia="Times New Roman" w:hAnsi="Century Schoolbook"/>
                <w:b/>
                <w:bCs/>
              </w:rPr>
              <w:t xml:space="preserve">[PROPOSED] </w:t>
            </w:r>
          </w:p>
          <w:p w:rsidR="00997A45" w:rsidRPr="002F0EB8" w:rsidRDefault="003C0786" w:rsidP="003C0786">
            <w:pPr>
              <w:jc w:val="center"/>
              <w:rPr>
                <w:rFonts w:ascii="Century Schoolbook" w:eastAsia="Times New Roman" w:hAnsi="Century Schoolbook"/>
                <w:b/>
                <w:bCs/>
              </w:rPr>
            </w:pPr>
            <w:r>
              <w:rPr>
                <w:rFonts w:ascii="Century Schoolbook" w:eastAsia="Times New Roman" w:hAnsi="Century Schoolbook"/>
                <w:b/>
                <w:bCs/>
              </w:rPr>
              <w:t>FINAL CONSENT JUDGMENT</w:t>
            </w:r>
          </w:p>
          <w:p w:rsidR="00997A45" w:rsidRPr="002F0EB8" w:rsidRDefault="00997A45" w:rsidP="00CD7284">
            <w:pPr>
              <w:jc w:val="center"/>
              <w:rPr>
                <w:rFonts w:ascii="Century Schoolbook" w:eastAsia="Times New Roman" w:hAnsi="Century Schoolbook"/>
                <w:b/>
              </w:rPr>
            </w:pPr>
          </w:p>
        </w:tc>
      </w:tr>
    </w:tbl>
    <w:p w:rsidR="00ED3863" w:rsidRPr="002F0EB8" w:rsidRDefault="00ED3863">
      <w:pPr>
        <w:rPr>
          <w:rFonts w:ascii="Century Schoolbook" w:hAnsi="Century Schoolbook"/>
        </w:rPr>
      </w:pPr>
    </w:p>
    <w:p w:rsidR="00EB2035" w:rsidRDefault="00855C26" w:rsidP="00EB2035">
      <w:pPr>
        <w:spacing w:line="480" w:lineRule="auto"/>
        <w:jc w:val="both"/>
        <w:rPr>
          <w:rFonts w:ascii="Century Schoolbook" w:hAnsi="Century Schoolbook"/>
          <w:sz w:val="24"/>
          <w:szCs w:val="24"/>
        </w:rPr>
      </w:pPr>
      <w:r w:rsidRPr="002F0EB8">
        <w:rPr>
          <w:rFonts w:ascii="Century Schoolbook" w:hAnsi="Century Schoolbook"/>
          <w:sz w:val="24"/>
          <w:szCs w:val="24"/>
        </w:rPr>
        <w:tab/>
      </w:r>
      <w:r w:rsidR="00EB2035" w:rsidRPr="002F0EB8">
        <w:rPr>
          <w:rFonts w:ascii="Century Schoolbook" w:hAnsi="Century Schoolbook"/>
          <w:sz w:val="24"/>
          <w:szCs w:val="24"/>
        </w:rPr>
        <w:t>THIS MATTER is before the Court on Petitioners and The Charlotte-Mecklenburg Hospital Authority’s (“CMHA”) (collectively, the “parties”)</w:t>
      </w:r>
      <w:r w:rsidR="00EB2035">
        <w:rPr>
          <w:rFonts w:ascii="Century Schoolbook" w:hAnsi="Century Schoolbook"/>
          <w:sz w:val="24"/>
          <w:szCs w:val="24"/>
        </w:rPr>
        <w:t xml:space="preserve"> Joint Motion </w:t>
      </w:r>
      <w:r w:rsidR="003C0786">
        <w:rPr>
          <w:rFonts w:ascii="Century Schoolbook" w:hAnsi="Century Schoolbook"/>
          <w:sz w:val="24"/>
          <w:szCs w:val="24"/>
        </w:rPr>
        <w:t>for entry of a final consent judgment modifying the terms of the Trust at issue in this action and dismissing the claims and counterclaims asserted in the action, with prejudice, with no award of costs or fees to any party</w:t>
      </w:r>
      <w:r w:rsidR="00EB2035">
        <w:rPr>
          <w:rFonts w:ascii="Century Schoolbook" w:hAnsi="Century Schoolbook"/>
          <w:sz w:val="24"/>
          <w:szCs w:val="24"/>
        </w:rPr>
        <w:t>.</w:t>
      </w:r>
      <w:r w:rsidR="003C0786">
        <w:rPr>
          <w:rFonts w:ascii="Century Schoolbook" w:hAnsi="Century Schoolbook"/>
          <w:sz w:val="24"/>
          <w:szCs w:val="24"/>
        </w:rPr>
        <w:t xml:space="preserve"> The North Carolina Attorney General has informed the Court that he has no objection to the entry of this Final Consent Judgment.</w:t>
      </w:r>
    </w:p>
    <w:p w:rsidR="00AD4070" w:rsidRDefault="00AD4070" w:rsidP="00EB2035">
      <w:pPr>
        <w:spacing w:line="480" w:lineRule="auto"/>
        <w:jc w:val="both"/>
        <w:rPr>
          <w:rFonts w:ascii="Century Schoolbook" w:hAnsi="Century Schoolbook"/>
          <w:sz w:val="24"/>
          <w:szCs w:val="24"/>
        </w:rPr>
      </w:pPr>
      <w:r>
        <w:rPr>
          <w:rFonts w:ascii="Century Schoolbook" w:hAnsi="Century Schoolbook"/>
          <w:sz w:val="24"/>
          <w:szCs w:val="24"/>
        </w:rPr>
        <w:tab/>
        <w:t xml:space="preserve">The parties have represented to the Court </w:t>
      </w:r>
      <w:r w:rsidR="00EE2EC5">
        <w:rPr>
          <w:rFonts w:ascii="Century Schoolbook" w:hAnsi="Century Schoolbook"/>
          <w:sz w:val="24"/>
          <w:szCs w:val="24"/>
        </w:rPr>
        <w:t>and the Court hereby finds</w:t>
      </w:r>
      <w:r w:rsidR="000851EC">
        <w:rPr>
          <w:rFonts w:ascii="Century Schoolbook" w:hAnsi="Century Schoolbook"/>
          <w:sz w:val="24"/>
          <w:szCs w:val="24"/>
        </w:rPr>
        <w:t xml:space="preserve"> and concludes</w:t>
      </w:r>
      <w:r w:rsidR="00EE2EC5">
        <w:rPr>
          <w:rFonts w:ascii="Century Schoolbook" w:hAnsi="Century Schoolbook"/>
          <w:sz w:val="24"/>
          <w:szCs w:val="24"/>
        </w:rPr>
        <w:t xml:space="preserve"> </w:t>
      </w:r>
      <w:r>
        <w:rPr>
          <w:rFonts w:ascii="Century Schoolbook" w:hAnsi="Century Schoolbook"/>
          <w:sz w:val="24"/>
          <w:szCs w:val="24"/>
        </w:rPr>
        <w:t>that:</w:t>
      </w:r>
    </w:p>
    <w:p w:rsidR="00AD4070" w:rsidRPr="00AD4070" w:rsidRDefault="00AD4070" w:rsidP="00AD4070">
      <w:pPr>
        <w:spacing w:line="480" w:lineRule="auto"/>
        <w:ind w:firstLine="720"/>
        <w:jc w:val="both"/>
        <w:rPr>
          <w:rFonts w:ascii="Century Schoolbook" w:hAnsi="Century Schoolbook"/>
          <w:sz w:val="24"/>
          <w:szCs w:val="24"/>
        </w:rPr>
      </w:pPr>
      <w:r>
        <w:rPr>
          <w:rFonts w:ascii="Century Schoolbook" w:hAnsi="Century Schoolbook"/>
          <w:sz w:val="24"/>
          <w:szCs w:val="24"/>
        </w:rPr>
        <w:t>1.</w:t>
      </w:r>
      <w:r>
        <w:rPr>
          <w:rFonts w:ascii="Century Schoolbook" w:hAnsi="Century Schoolbook"/>
          <w:sz w:val="24"/>
          <w:szCs w:val="24"/>
        </w:rPr>
        <w:tab/>
        <w:t xml:space="preserve">The Petitioners in this action </w:t>
      </w:r>
      <w:r w:rsidRPr="00AD4070">
        <w:rPr>
          <w:rFonts w:ascii="Century Schoolbook" w:hAnsi="Century Schoolbook"/>
          <w:sz w:val="24"/>
          <w:szCs w:val="24"/>
        </w:rPr>
        <w:t xml:space="preserve">are the Trustees </w:t>
      </w:r>
      <w:r>
        <w:rPr>
          <w:rFonts w:ascii="Century Schoolbook" w:hAnsi="Century Schoolbook"/>
          <w:sz w:val="24"/>
          <w:szCs w:val="24"/>
        </w:rPr>
        <w:t xml:space="preserve">of a trust known as </w:t>
      </w:r>
      <w:r w:rsidRPr="00AD4070">
        <w:rPr>
          <w:rFonts w:ascii="Century Schoolbook" w:hAnsi="Century Schoolbook"/>
          <w:sz w:val="24"/>
          <w:szCs w:val="24"/>
        </w:rPr>
        <w:t xml:space="preserve"> Trust #212 for Charles A. Cannon, III, Created Under the Will and Codicils of Ruth Coltrane Cannon (the “Trust”). </w:t>
      </w:r>
      <w:r w:rsidR="000A6DD0">
        <w:rPr>
          <w:rFonts w:ascii="Century Schoolbook" w:hAnsi="Century Schoolbook"/>
          <w:sz w:val="24"/>
          <w:szCs w:val="24"/>
        </w:rPr>
        <w:t>CMHA is the Respondent.</w:t>
      </w:r>
    </w:p>
    <w:p w:rsidR="00AD4070" w:rsidRPr="00AD4070" w:rsidRDefault="000A6DD0" w:rsidP="000A6DD0">
      <w:pPr>
        <w:spacing w:line="480" w:lineRule="auto"/>
        <w:ind w:firstLine="720"/>
        <w:jc w:val="both"/>
        <w:rPr>
          <w:rFonts w:ascii="Century Schoolbook" w:hAnsi="Century Schoolbook"/>
          <w:sz w:val="24"/>
          <w:szCs w:val="24"/>
        </w:rPr>
      </w:pPr>
      <w:r>
        <w:rPr>
          <w:rFonts w:ascii="Century Schoolbook" w:hAnsi="Century Schoolbook"/>
          <w:sz w:val="24"/>
          <w:szCs w:val="24"/>
        </w:rPr>
        <w:t>2.</w:t>
      </w:r>
      <w:r>
        <w:rPr>
          <w:rFonts w:ascii="Century Schoolbook" w:hAnsi="Century Schoolbook"/>
          <w:sz w:val="24"/>
          <w:szCs w:val="24"/>
        </w:rPr>
        <w:tab/>
        <w:t xml:space="preserve">In pleadings in this action, the Petitioner and Respondent have disputed the proper interpretation and application of Item VII of the will of </w:t>
      </w:r>
      <w:r w:rsidR="00AD4070" w:rsidRPr="00AD4070">
        <w:rPr>
          <w:rFonts w:ascii="Century Schoolbook" w:hAnsi="Century Schoolbook"/>
          <w:sz w:val="24"/>
          <w:szCs w:val="24"/>
        </w:rPr>
        <w:t>Ruth Coltrane Cannon (“Ms. Cannon”)</w:t>
      </w:r>
      <w:r>
        <w:rPr>
          <w:rFonts w:ascii="Century Schoolbook" w:hAnsi="Century Schoolbook"/>
          <w:sz w:val="24"/>
          <w:szCs w:val="24"/>
        </w:rPr>
        <w:t>, which specified the manner in which income from the Trust should be distributed upon the death of her</w:t>
      </w:r>
      <w:r w:rsidRPr="00AD4070">
        <w:rPr>
          <w:rFonts w:ascii="Century Schoolbook" w:hAnsi="Century Schoolbook"/>
          <w:sz w:val="24"/>
          <w:szCs w:val="24"/>
        </w:rPr>
        <w:t xml:space="preserve"> grandson, Charles A. Cannon, III</w:t>
      </w:r>
      <w:r>
        <w:rPr>
          <w:rFonts w:ascii="Century Schoolbook" w:hAnsi="Century Schoolbook"/>
          <w:sz w:val="24"/>
          <w:szCs w:val="24"/>
        </w:rPr>
        <w:t xml:space="preserve">, as follows: </w:t>
      </w:r>
      <w:r w:rsidR="00AD4070" w:rsidRPr="00AD4070">
        <w:rPr>
          <w:rFonts w:ascii="Century Schoolbook" w:hAnsi="Century Schoolbook"/>
          <w:sz w:val="24"/>
          <w:szCs w:val="24"/>
        </w:rPr>
        <w:t xml:space="preserve"> </w:t>
      </w:r>
    </w:p>
    <w:p w:rsidR="00AD4070" w:rsidRDefault="00AD4070" w:rsidP="000A6DD0">
      <w:pPr>
        <w:ind w:left="720" w:right="720"/>
        <w:jc w:val="both"/>
        <w:rPr>
          <w:rFonts w:ascii="Century Schoolbook" w:hAnsi="Century Schoolbook"/>
          <w:sz w:val="24"/>
          <w:szCs w:val="24"/>
        </w:rPr>
      </w:pPr>
      <w:r w:rsidRPr="00AD4070">
        <w:rPr>
          <w:rFonts w:ascii="Century Schoolbook" w:hAnsi="Century Schoolbook"/>
          <w:sz w:val="24"/>
          <w:szCs w:val="24"/>
        </w:rPr>
        <w:t>The income therefrom shall be paid to Cabarrus Memorial Hospital, a public institution owned by Cabarrus County, North Carolina.  The income shall be paid to said hospital so long as the income is exempt from income tax under Section 501 of the Internal Revenue Code and its regulations as they now exist or as the said section, or any corresponding section and the regulations, may hereafter be amended or enacted.  In case the said Cabarrus Memorial Hospital at any time fails to qualify as an organization exempt from taxation so that the income from this share or trust may be paid to it without income tax being charged thereon, then my Trustees shall pay the income out for such religious, charitable, scientific, literary, or educational purposes as my Trustees may from time to time select.  It is my intention that the income shall be paid to recipients which are authorized by law to receive the income free of income tax, and my Trustees shall handle and administer this trust in accordance with the requirements of the law for such purposes.</w:t>
      </w:r>
    </w:p>
    <w:p w:rsidR="000A6DD0" w:rsidRPr="00AD4070" w:rsidRDefault="000A6DD0" w:rsidP="000A6DD0">
      <w:pPr>
        <w:ind w:left="720" w:right="720"/>
        <w:jc w:val="both"/>
        <w:rPr>
          <w:rFonts w:ascii="Century Schoolbook" w:hAnsi="Century Schoolbook"/>
          <w:sz w:val="24"/>
          <w:szCs w:val="24"/>
        </w:rPr>
      </w:pPr>
    </w:p>
    <w:p w:rsidR="00AD4070" w:rsidRDefault="000A6DD0" w:rsidP="000A6DD0">
      <w:pPr>
        <w:spacing w:line="480" w:lineRule="auto"/>
        <w:ind w:firstLine="720"/>
        <w:jc w:val="both"/>
        <w:rPr>
          <w:rFonts w:ascii="Century Schoolbook" w:hAnsi="Century Schoolbook"/>
          <w:sz w:val="24"/>
          <w:szCs w:val="24"/>
        </w:rPr>
      </w:pPr>
      <w:r>
        <w:rPr>
          <w:rFonts w:ascii="Century Schoolbook" w:hAnsi="Century Schoolbook"/>
          <w:sz w:val="24"/>
          <w:szCs w:val="24"/>
        </w:rPr>
        <w:t>3.</w:t>
      </w:r>
      <w:r>
        <w:rPr>
          <w:rFonts w:ascii="Century Schoolbook" w:hAnsi="Century Schoolbook"/>
          <w:sz w:val="24"/>
          <w:szCs w:val="24"/>
        </w:rPr>
        <w:tab/>
      </w:r>
      <w:r w:rsidR="00AD4070" w:rsidRPr="00AD4070">
        <w:rPr>
          <w:rFonts w:ascii="Century Schoolbook" w:hAnsi="Century Schoolbook"/>
          <w:sz w:val="24"/>
          <w:szCs w:val="24"/>
        </w:rPr>
        <w:t>Charles A. Cannon, III passed away on October 28, 2023.</w:t>
      </w:r>
    </w:p>
    <w:p w:rsidR="00EE2EC5" w:rsidRDefault="00EE2EC5" w:rsidP="000A6DD0">
      <w:pPr>
        <w:spacing w:line="480" w:lineRule="auto"/>
        <w:ind w:firstLine="720"/>
        <w:jc w:val="both"/>
        <w:rPr>
          <w:rFonts w:ascii="Century Schoolbook" w:hAnsi="Century Schoolbook"/>
          <w:sz w:val="24"/>
          <w:szCs w:val="24"/>
        </w:rPr>
      </w:pPr>
      <w:r>
        <w:rPr>
          <w:rFonts w:ascii="Century Schoolbook" w:hAnsi="Century Schoolbook"/>
          <w:sz w:val="24"/>
          <w:szCs w:val="24"/>
        </w:rPr>
        <w:t>4.</w:t>
      </w:r>
      <w:r>
        <w:rPr>
          <w:rFonts w:ascii="Century Schoolbook" w:hAnsi="Century Schoolbook"/>
          <w:sz w:val="24"/>
          <w:szCs w:val="24"/>
        </w:rPr>
        <w:tab/>
        <w:t>The contentions and arguments of the parties are set forth in the pleadings in this action.</w:t>
      </w:r>
    </w:p>
    <w:p w:rsidR="000A6DD0" w:rsidRDefault="00EE2EC5" w:rsidP="000A6DD0">
      <w:pPr>
        <w:spacing w:line="480" w:lineRule="auto"/>
        <w:ind w:firstLine="720"/>
        <w:jc w:val="both"/>
        <w:rPr>
          <w:rFonts w:ascii="Century Schoolbook" w:hAnsi="Century Schoolbook"/>
          <w:sz w:val="24"/>
          <w:szCs w:val="24"/>
        </w:rPr>
      </w:pPr>
      <w:r w:rsidRPr="002A0489">
        <w:rPr>
          <w:rFonts w:ascii="Century Schoolbook" w:hAnsi="Century Schoolbook"/>
          <w:sz w:val="24"/>
          <w:szCs w:val="24"/>
        </w:rPr>
        <w:t>5.</w:t>
      </w:r>
      <w:r w:rsidRPr="002A0489">
        <w:rPr>
          <w:rFonts w:ascii="Century Schoolbook" w:hAnsi="Century Schoolbook"/>
          <w:sz w:val="24"/>
          <w:szCs w:val="24"/>
        </w:rPr>
        <w:tab/>
      </w:r>
      <w:r w:rsidR="00344C50" w:rsidRPr="002A0489">
        <w:rPr>
          <w:rFonts w:ascii="Century Schoolbook" w:hAnsi="Century Schoolbook"/>
          <w:sz w:val="24"/>
          <w:szCs w:val="24"/>
        </w:rPr>
        <w:t>Administration of the Trust has become impracticable and impossible to achieve under its current terms given the</w:t>
      </w:r>
      <w:r w:rsidR="002A0489">
        <w:rPr>
          <w:rFonts w:ascii="Century Schoolbook" w:hAnsi="Century Schoolbook"/>
          <w:sz w:val="24"/>
          <w:szCs w:val="24"/>
        </w:rPr>
        <w:t xml:space="preserve"> circumstance</w:t>
      </w:r>
      <w:r w:rsidR="00951A3C">
        <w:rPr>
          <w:rFonts w:ascii="Century Schoolbook" w:hAnsi="Century Schoolbook"/>
          <w:sz w:val="24"/>
          <w:szCs w:val="24"/>
        </w:rPr>
        <w:t>s</w:t>
      </w:r>
      <w:r w:rsidR="002A0489">
        <w:rPr>
          <w:rFonts w:ascii="Century Schoolbook" w:hAnsi="Century Schoolbook"/>
          <w:sz w:val="24"/>
          <w:szCs w:val="24"/>
        </w:rPr>
        <w:t xml:space="preserve"> presently existing</w:t>
      </w:r>
      <w:r w:rsidR="00951A3C">
        <w:rPr>
          <w:rFonts w:ascii="Century Schoolbook" w:hAnsi="Century Schoolbook"/>
          <w:sz w:val="24"/>
          <w:szCs w:val="24"/>
        </w:rPr>
        <w:t>, as</w:t>
      </w:r>
      <w:r w:rsidR="00344C50" w:rsidRPr="002A0489">
        <w:rPr>
          <w:rFonts w:ascii="Century Schoolbook" w:hAnsi="Century Schoolbook"/>
          <w:sz w:val="24"/>
          <w:szCs w:val="24"/>
        </w:rPr>
        <w:t xml:space="preserve"> </w:t>
      </w:r>
      <w:r w:rsidR="00951A3C">
        <w:rPr>
          <w:rFonts w:ascii="Century Schoolbook" w:hAnsi="Century Schoolbook"/>
          <w:sz w:val="24"/>
          <w:szCs w:val="24"/>
        </w:rPr>
        <w:t xml:space="preserve">reflected in the </w:t>
      </w:r>
      <w:r w:rsidR="00344C50" w:rsidRPr="002A0489">
        <w:rPr>
          <w:rFonts w:ascii="Century Schoolbook" w:hAnsi="Century Schoolbook"/>
          <w:sz w:val="24"/>
          <w:szCs w:val="24"/>
        </w:rPr>
        <w:t>differing contentions and arguments of the parties</w:t>
      </w:r>
      <w:r w:rsidR="00951A3C">
        <w:rPr>
          <w:rFonts w:ascii="Century Schoolbook" w:hAnsi="Century Schoolbook"/>
          <w:sz w:val="24"/>
          <w:szCs w:val="24"/>
        </w:rPr>
        <w:t xml:space="preserve"> and the record before the Court.</w:t>
      </w:r>
      <w:r w:rsidR="005725F8">
        <w:rPr>
          <w:rFonts w:ascii="Century Schoolbook" w:hAnsi="Century Schoolbook"/>
          <w:sz w:val="24"/>
          <w:szCs w:val="24"/>
        </w:rPr>
        <w:t xml:space="preserve"> </w:t>
      </w:r>
      <w:r w:rsidR="00951A3C">
        <w:rPr>
          <w:rFonts w:ascii="Century Schoolbook" w:hAnsi="Century Schoolbook"/>
          <w:sz w:val="24"/>
          <w:szCs w:val="24"/>
        </w:rPr>
        <w:t xml:space="preserve">As a result, </w:t>
      </w:r>
      <w:r w:rsidR="005725F8">
        <w:rPr>
          <w:rFonts w:ascii="Century Schoolbook" w:hAnsi="Century Schoolbook"/>
          <w:sz w:val="24"/>
          <w:szCs w:val="24"/>
        </w:rPr>
        <w:t>modification of the Trust as contemplated by this Final Consent Judgment is</w:t>
      </w:r>
      <w:r w:rsidR="00951A3C">
        <w:rPr>
          <w:rFonts w:ascii="Century Schoolbook" w:hAnsi="Century Schoolbook"/>
          <w:sz w:val="24"/>
          <w:szCs w:val="24"/>
        </w:rPr>
        <w:t xml:space="preserve"> necessary and appropriate, and such modification is</w:t>
      </w:r>
      <w:r w:rsidR="005725F8">
        <w:rPr>
          <w:rFonts w:ascii="Century Schoolbook" w:hAnsi="Century Schoolbook"/>
          <w:sz w:val="24"/>
          <w:szCs w:val="24"/>
        </w:rPr>
        <w:t xml:space="preserve"> consistent with Ms. Cannon’s charitable purposes. </w:t>
      </w:r>
      <w:r w:rsidR="008A1C32">
        <w:rPr>
          <w:rFonts w:ascii="Century Schoolbook" w:hAnsi="Century Schoolbook"/>
          <w:sz w:val="24"/>
          <w:szCs w:val="24"/>
        </w:rPr>
        <w:t>I</w:t>
      </w:r>
      <w:r>
        <w:rPr>
          <w:rFonts w:ascii="Century Schoolbook" w:hAnsi="Century Schoolbook"/>
          <w:sz w:val="24"/>
          <w:szCs w:val="24"/>
        </w:rPr>
        <w:t xml:space="preserve">n a joint effort to avoid diminution of the assets of the Trust as a result of the expense of continued litigation, the parties have agreed to put aside their differences, dismiss all claims and counterclaims as set forth above, and discontinue this litigation upon </w:t>
      </w:r>
      <w:r w:rsidR="00344C50">
        <w:rPr>
          <w:rFonts w:ascii="Century Schoolbook" w:hAnsi="Century Schoolbook"/>
          <w:sz w:val="24"/>
          <w:szCs w:val="24"/>
        </w:rPr>
        <w:t>modification</w:t>
      </w:r>
      <w:r>
        <w:rPr>
          <w:rFonts w:ascii="Century Schoolbook" w:hAnsi="Century Schoolbook"/>
          <w:sz w:val="24"/>
          <w:szCs w:val="24"/>
        </w:rPr>
        <w:t xml:space="preserve"> of Item</w:t>
      </w:r>
      <w:r w:rsidR="00055CE4">
        <w:rPr>
          <w:rFonts w:ascii="Century Schoolbook" w:hAnsi="Century Schoolbook"/>
          <w:sz w:val="24"/>
          <w:szCs w:val="24"/>
        </w:rPr>
        <w:t>s</w:t>
      </w:r>
      <w:r>
        <w:rPr>
          <w:rFonts w:ascii="Century Schoolbook" w:hAnsi="Century Schoolbook"/>
          <w:sz w:val="24"/>
          <w:szCs w:val="24"/>
        </w:rPr>
        <w:t xml:space="preserve"> VII </w:t>
      </w:r>
      <w:r w:rsidR="00055CE4">
        <w:rPr>
          <w:rFonts w:ascii="Century Schoolbook" w:hAnsi="Century Schoolbook"/>
          <w:sz w:val="24"/>
          <w:szCs w:val="24"/>
        </w:rPr>
        <w:t xml:space="preserve">and VIII </w:t>
      </w:r>
      <w:r>
        <w:rPr>
          <w:rFonts w:ascii="Century Schoolbook" w:hAnsi="Century Schoolbook"/>
          <w:sz w:val="24"/>
          <w:szCs w:val="24"/>
        </w:rPr>
        <w:t xml:space="preserve">of the Will of Ms. Cannon </w:t>
      </w:r>
      <w:r w:rsidR="00055CE4">
        <w:rPr>
          <w:rFonts w:ascii="Century Schoolbook" w:hAnsi="Century Schoolbook"/>
          <w:sz w:val="24"/>
          <w:szCs w:val="24"/>
        </w:rPr>
        <w:t xml:space="preserve">by deleting Item VIII in its entirety and </w:t>
      </w:r>
      <w:r w:rsidR="005725F8">
        <w:rPr>
          <w:rFonts w:ascii="Century Schoolbook" w:hAnsi="Century Schoolbook"/>
          <w:sz w:val="24"/>
          <w:szCs w:val="24"/>
        </w:rPr>
        <w:t>restat</w:t>
      </w:r>
      <w:r w:rsidR="00055CE4">
        <w:rPr>
          <w:rFonts w:ascii="Century Schoolbook" w:hAnsi="Century Schoolbook"/>
          <w:sz w:val="24"/>
          <w:szCs w:val="24"/>
        </w:rPr>
        <w:t>ing</w:t>
      </w:r>
      <w:r w:rsidR="00344C50">
        <w:rPr>
          <w:rFonts w:ascii="Century Schoolbook" w:hAnsi="Century Schoolbook"/>
          <w:sz w:val="24"/>
          <w:szCs w:val="24"/>
        </w:rPr>
        <w:t xml:space="preserve"> Item VII </w:t>
      </w:r>
      <w:r>
        <w:rPr>
          <w:rFonts w:ascii="Century Schoolbook" w:hAnsi="Century Schoolbook"/>
          <w:sz w:val="24"/>
          <w:szCs w:val="24"/>
        </w:rPr>
        <w:t>as follows:</w:t>
      </w:r>
    </w:p>
    <w:p w:rsidR="00344C50" w:rsidRPr="00344C50" w:rsidRDefault="00344C50" w:rsidP="00344C50">
      <w:pPr>
        <w:ind w:left="720" w:right="720"/>
        <w:jc w:val="center"/>
        <w:rPr>
          <w:rFonts w:ascii="Century Schoolbook" w:hAnsi="Century Schoolbook"/>
          <w:sz w:val="24"/>
          <w:szCs w:val="24"/>
        </w:rPr>
      </w:pPr>
      <w:r w:rsidRPr="00344C50">
        <w:rPr>
          <w:rFonts w:ascii="Century Schoolbook" w:hAnsi="Century Schoolbook"/>
          <w:sz w:val="24"/>
          <w:szCs w:val="24"/>
        </w:rPr>
        <w:t>Item VII</w:t>
      </w:r>
    </w:p>
    <w:p w:rsidR="00055CE4" w:rsidRDefault="00055CE4" w:rsidP="00211E27">
      <w:pPr>
        <w:ind w:left="720" w:right="720" w:firstLine="720"/>
        <w:jc w:val="both"/>
        <w:rPr>
          <w:rFonts w:ascii="Century Schoolbook" w:hAnsi="Century Schoolbook"/>
          <w:sz w:val="24"/>
          <w:szCs w:val="24"/>
        </w:rPr>
      </w:pPr>
    </w:p>
    <w:p w:rsidR="00211E27" w:rsidRDefault="00211E27" w:rsidP="00211E27">
      <w:pPr>
        <w:ind w:left="720" w:right="720" w:firstLine="720"/>
        <w:jc w:val="both"/>
        <w:rPr>
          <w:rFonts w:ascii="Century Schoolbook" w:hAnsi="Century Schoolbook"/>
          <w:sz w:val="24"/>
          <w:szCs w:val="24"/>
        </w:rPr>
      </w:pPr>
      <w:r w:rsidRPr="00344C50">
        <w:rPr>
          <w:rFonts w:ascii="Century Schoolbook" w:hAnsi="Century Schoolbook"/>
          <w:sz w:val="24"/>
          <w:szCs w:val="24"/>
        </w:rPr>
        <w:t>If, during the continuance of this trust and before the time fixed for vesting of the corpus, all of my children, William Coltrane Cannon, Mariam Winslow Cannon Hayes and Mary Ruth Cannon Spencer shall die, and all of the lineal issue of my said three children shall die, then in that event I give, bequeath and devise the corpus and undistributed income, if any, to the Trustees named herein, and their successors, for the following uses and purposes:</w:t>
      </w:r>
    </w:p>
    <w:p w:rsidR="00055CE4" w:rsidRPr="00344C50" w:rsidRDefault="00055CE4" w:rsidP="00211E27">
      <w:pPr>
        <w:ind w:left="720" w:right="720" w:firstLine="720"/>
        <w:jc w:val="both"/>
        <w:rPr>
          <w:rFonts w:ascii="Century Schoolbook" w:hAnsi="Century Schoolbook"/>
          <w:sz w:val="24"/>
          <w:szCs w:val="24"/>
        </w:rPr>
      </w:pPr>
    </w:p>
    <w:p w:rsidR="008F728A" w:rsidRDefault="000B2652" w:rsidP="000F0C13">
      <w:pPr>
        <w:ind w:left="720" w:right="720"/>
        <w:jc w:val="both"/>
        <w:rPr>
          <w:rFonts w:ascii="Century Schoolbook" w:hAnsi="Century Schoolbook"/>
          <w:sz w:val="24"/>
          <w:szCs w:val="24"/>
        </w:rPr>
      </w:pPr>
      <w:r w:rsidRPr="008F728A">
        <w:rPr>
          <w:rFonts w:ascii="Century Schoolbook" w:hAnsi="Century Schoolbook"/>
          <w:sz w:val="24"/>
          <w:szCs w:val="24"/>
        </w:rPr>
        <w:t xml:space="preserve">The Trustees shall distribute the greater of (i) all of the net income of the trust, or (ii) such amount as shall be necessary to avoid tax imposed by Section 4942 of the </w:t>
      </w:r>
      <w:r w:rsidR="008F728A">
        <w:rPr>
          <w:rFonts w:ascii="Century Schoolbook" w:hAnsi="Century Schoolbook"/>
          <w:sz w:val="24"/>
          <w:szCs w:val="24"/>
        </w:rPr>
        <w:t xml:space="preserve">Internal Revenue </w:t>
      </w:r>
      <w:r w:rsidRPr="008F728A">
        <w:rPr>
          <w:rFonts w:ascii="Century Schoolbook" w:hAnsi="Century Schoolbook"/>
          <w:sz w:val="24"/>
          <w:szCs w:val="24"/>
        </w:rPr>
        <w:t xml:space="preserve">Code during each tax year of the trust. </w:t>
      </w:r>
      <w:r w:rsidRPr="008F728A">
        <w:rPr>
          <w:rFonts w:ascii="Century Schoolbook" w:hAnsi="Century Schoolbook"/>
          <w:iCs/>
          <w:sz w:val="24"/>
          <w:szCs w:val="24"/>
        </w:rPr>
        <w:t>Such distribution shall be made not later than the date such distribution must be made to avoid tax imposed by Section 4942 of the Code for each such tax year</w:t>
      </w:r>
      <w:r w:rsidRPr="008F728A">
        <w:rPr>
          <w:rFonts w:ascii="Century Schoolbook" w:hAnsi="Century Schoolbook"/>
          <w:sz w:val="24"/>
          <w:szCs w:val="24"/>
        </w:rPr>
        <w:t>. All such distributions, whether of net income or as required to</w:t>
      </w:r>
      <w:r>
        <w:rPr>
          <w:rFonts w:ascii="Century Schoolbook" w:hAnsi="Century Schoolbook"/>
          <w:sz w:val="24"/>
          <w:szCs w:val="24"/>
        </w:rPr>
        <w:t xml:space="preserve"> avoid tax imposed by Section 4942 of the Code, shall be made as follows: </w:t>
      </w:r>
    </w:p>
    <w:p w:rsidR="008F728A" w:rsidRDefault="008F728A" w:rsidP="000F0C13">
      <w:pPr>
        <w:ind w:left="720" w:right="720"/>
        <w:jc w:val="both"/>
        <w:rPr>
          <w:rFonts w:ascii="Century Schoolbook" w:hAnsi="Century Schoolbook"/>
          <w:sz w:val="24"/>
          <w:szCs w:val="24"/>
        </w:rPr>
      </w:pPr>
    </w:p>
    <w:p w:rsidR="00344C50" w:rsidRPr="00344C50" w:rsidRDefault="00344C50" w:rsidP="000F0C13">
      <w:pPr>
        <w:ind w:left="720" w:right="720"/>
        <w:jc w:val="both"/>
        <w:rPr>
          <w:rFonts w:ascii="Century Schoolbook" w:hAnsi="Century Schoolbook"/>
          <w:sz w:val="24"/>
          <w:szCs w:val="24"/>
        </w:rPr>
      </w:pPr>
      <w:r w:rsidRPr="00951A3C">
        <w:rPr>
          <w:rFonts w:ascii="Century Schoolbook" w:hAnsi="Century Schoolbook"/>
          <w:sz w:val="24"/>
          <w:szCs w:val="24"/>
        </w:rPr>
        <w:t xml:space="preserve">Fifty Percent (50%) of </w:t>
      </w:r>
      <w:r w:rsidR="007E0FFC">
        <w:rPr>
          <w:rFonts w:ascii="Century Schoolbook" w:hAnsi="Century Schoolbook"/>
          <w:sz w:val="24"/>
          <w:szCs w:val="24"/>
        </w:rPr>
        <w:t xml:space="preserve">such distributions </w:t>
      </w:r>
      <w:r w:rsidRPr="00951A3C">
        <w:rPr>
          <w:rFonts w:ascii="Century Schoolbook" w:hAnsi="Century Schoolbook"/>
          <w:sz w:val="24"/>
          <w:szCs w:val="24"/>
        </w:rPr>
        <w:t xml:space="preserve">therefrom shall be paid </w:t>
      </w:r>
      <w:r w:rsidR="006B6B45" w:rsidRPr="00951A3C">
        <w:rPr>
          <w:rFonts w:ascii="Century Schoolbook" w:hAnsi="Century Schoolbook"/>
          <w:sz w:val="24"/>
          <w:szCs w:val="24"/>
        </w:rPr>
        <w:t xml:space="preserve">in the discretion of the Trustees </w:t>
      </w:r>
      <w:r w:rsidR="0039306D" w:rsidRPr="00951A3C">
        <w:rPr>
          <w:rFonts w:ascii="Century Schoolbook" w:hAnsi="Century Schoolbook"/>
          <w:sz w:val="24"/>
          <w:szCs w:val="24"/>
        </w:rPr>
        <w:t xml:space="preserve">to </w:t>
      </w:r>
      <w:r w:rsidR="00B954D2">
        <w:rPr>
          <w:rFonts w:ascii="Century Schoolbook" w:hAnsi="Century Schoolbook"/>
          <w:sz w:val="24"/>
          <w:szCs w:val="24"/>
        </w:rPr>
        <w:t xml:space="preserve">any of </w:t>
      </w:r>
      <w:r w:rsidRPr="00951A3C">
        <w:rPr>
          <w:rFonts w:ascii="Century Schoolbook" w:hAnsi="Century Schoolbook"/>
          <w:sz w:val="24"/>
          <w:szCs w:val="24"/>
        </w:rPr>
        <w:t>Wake Forest University Baptist Medical Center</w:t>
      </w:r>
      <w:r w:rsidR="00091D3F">
        <w:rPr>
          <w:rFonts w:ascii="Century Schoolbook" w:hAnsi="Century Schoolbook"/>
          <w:sz w:val="24"/>
          <w:szCs w:val="24"/>
        </w:rPr>
        <w:t xml:space="preserve"> or </w:t>
      </w:r>
      <w:r w:rsidR="00951064">
        <w:rPr>
          <w:rFonts w:ascii="Century Schoolbook" w:hAnsi="Century Schoolbook"/>
          <w:sz w:val="24"/>
          <w:szCs w:val="24"/>
        </w:rPr>
        <w:t xml:space="preserve">Wake Forest University Health Sciences </w:t>
      </w:r>
      <w:r w:rsidR="00B954D2">
        <w:rPr>
          <w:rFonts w:ascii="Century Schoolbook" w:hAnsi="Century Schoolbook"/>
          <w:sz w:val="24"/>
          <w:szCs w:val="24"/>
        </w:rPr>
        <w:t>(</w:t>
      </w:r>
      <w:r w:rsidR="00564FEB">
        <w:rPr>
          <w:rFonts w:ascii="Century Schoolbook" w:hAnsi="Century Schoolbook"/>
          <w:sz w:val="24"/>
          <w:szCs w:val="24"/>
        </w:rPr>
        <w:t xml:space="preserve">collectively the </w:t>
      </w:r>
      <w:r w:rsidR="00B954D2">
        <w:rPr>
          <w:rFonts w:ascii="Century Schoolbook" w:hAnsi="Century Schoolbook"/>
          <w:sz w:val="24"/>
          <w:szCs w:val="24"/>
        </w:rPr>
        <w:t>“Directed Beneficiar</w:t>
      </w:r>
      <w:r w:rsidR="00564FEB">
        <w:rPr>
          <w:rFonts w:ascii="Century Schoolbook" w:hAnsi="Century Schoolbook"/>
          <w:sz w:val="24"/>
          <w:szCs w:val="24"/>
        </w:rPr>
        <w:t>ies</w:t>
      </w:r>
      <w:r w:rsidR="00B954D2">
        <w:rPr>
          <w:rFonts w:ascii="Century Schoolbook" w:hAnsi="Century Schoolbook"/>
          <w:sz w:val="24"/>
          <w:szCs w:val="24"/>
        </w:rPr>
        <w:t>”)</w:t>
      </w:r>
      <w:r w:rsidR="00951A3C">
        <w:rPr>
          <w:rFonts w:ascii="Century Schoolbook" w:hAnsi="Century Schoolbook"/>
          <w:sz w:val="24"/>
          <w:szCs w:val="24"/>
        </w:rPr>
        <w:t xml:space="preserve">, </w:t>
      </w:r>
      <w:r w:rsidR="00B954D2">
        <w:rPr>
          <w:rFonts w:ascii="Century Schoolbook" w:hAnsi="Century Schoolbook"/>
          <w:sz w:val="24"/>
          <w:szCs w:val="24"/>
        </w:rPr>
        <w:t xml:space="preserve">each </w:t>
      </w:r>
      <w:r w:rsidR="00951A3C">
        <w:rPr>
          <w:rFonts w:ascii="Century Schoolbook" w:hAnsi="Century Schoolbook"/>
          <w:sz w:val="24"/>
          <w:szCs w:val="24"/>
        </w:rPr>
        <w:t xml:space="preserve">a nonprofit corporation incorporated and existing pursuant to the North Carolina </w:t>
      </w:r>
      <w:r w:rsidR="00B25FAF">
        <w:rPr>
          <w:rFonts w:ascii="Century Schoolbook" w:hAnsi="Century Schoolbook"/>
          <w:sz w:val="24"/>
          <w:szCs w:val="24"/>
        </w:rPr>
        <w:t>Nonprofit Corporation Act</w:t>
      </w:r>
      <w:r w:rsidR="00B954D2">
        <w:rPr>
          <w:rFonts w:ascii="Century Schoolbook" w:hAnsi="Century Schoolbook"/>
          <w:sz w:val="24"/>
          <w:szCs w:val="24"/>
        </w:rPr>
        <w:t xml:space="preserve"> exempt from taxation under </w:t>
      </w:r>
      <w:r w:rsidR="00B954D2" w:rsidRPr="00951A3C">
        <w:rPr>
          <w:rFonts w:ascii="Century Schoolbook" w:hAnsi="Century Schoolbook"/>
          <w:sz w:val="24"/>
          <w:szCs w:val="24"/>
        </w:rPr>
        <w:t>Section 501</w:t>
      </w:r>
      <w:r w:rsidR="00B954D2">
        <w:rPr>
          <w:rFonts w:ascii="Century Schoolbook" w:hAnsi="Century Schoolbook"/>
          <w:sz w:val="24"/>
          <w:szCs w:val="24"/>
        </w:rPr>
        <w:t>(c)(3)</w:t>
      </w:r>
      <w:r w:rsidR="00B954D2" w:rsidRPr="00951A3C">
        <w:rPr>
          <w:rFonts w:ascii="Century Schoolbook" w:hAnsi="Century Schoolbook"/>
          <w:sz w:val="24"/>
          <w:szCs w:val="24"/>
        </w:rPr>
        <w:t xml:space="preserve"> of the Internal Revenue Code and its regulations as they now exist or may hereafter be amended or enacted</w:t>
      </w:r>
      <w:r w:rsidR="00B954D2">
        <w:rPr>
          <w:rFonts w:ascii="Century Schoolbook" w:hAnsi="Century Schoolbook"/>
          <w:sz w:val="24"/>
          <w:szCs w:val="24"/>
        </w:rPr>
        <w:t xml:space="preserve"> (collectively, “Section 501(c)(3)”)</w:t>
      </w:r>
      <w:r w:rsidR="00B25FAF">
        <w:rPr>
          <w:rFonts w:ascii="Century Schoolbook" w:hAnsi="Century Schoolbook"/>
          <w:sz w:val="24"/>
          <w:szCs w:val="24"/>
        </w:rPr>
        <w:t>,</w:t>
      </w:r>
      <w:r w:rsidR="006B6B45" w:rsidRPr="00951A3C">
        <w:rPr>
          <w:rFonts w:ascii="Century Schoolbook" w:hAnsi="Century Schoolbook"/>
          <w:sz w:val="24"/>
          <w:szCs w:val="24"/>
        </w:rPr>
        <w:t xml:space="preserve"> </w:t>
      </w:r>
      <w:r w:rsidRPr="00951A3C">
        <w:rPr>
          <w:rFonts w:ascii="Century Schoolbook" w:hAnsi="Century Schoolbook"/>
          <w:sz w:val="24"/>
          <w:szCs w:val="24"/>
        </w:rPr>
        <w:t xml:space="preserve">so long as such </w:t>
      </w:r>
      <w:r w:rsidR="00C55AEC">
        <w:rPr>
          <w:rFonts w:ascii="Century Schoolbook" w:hAnsi="Century Schoolbook"/>
          <w:sz w:val="24"/>
          <w:szCs w:val="24"/>
        </w:rPr>
        <w:t xml:space="preserve">recipient organization is </w:t>
      </w:r>
      <w:r w:rsidRPr="00951A3C">
        <w:rPr>
          <w:rFonts w:ascii="Century Schoolbook" w:hAnsi="Century Schoolbook"/>
          <w:sz w:val="24"/>
          <w:szCs w:val="24"/>
        </w:rPr>
        <w:t>exempt from income tax under</w:t>
      </w:r>
      <w:r w:rsidR="00055CE4">
        <w:rPr>
          <w:rFonts w:ascii="Century Schoolbook" w:hAnsi="Century Schoolbook"/>
          <w:sz w:val="24"/>
          <w:szCs w:val="24"/>
        </w:rPr>
        <w:t xml:space="preserve"> </w:t>
      </w:r>
      <w:r w:rsidR="00B954D2">
        <w:rPr>
          <w:rFonts w:ascii="Century Schoolbook" w:hAnsi="Century Schoolbook"/>
          <w:sz w:val="24"/>
          <w:szCs w:val="24"/>
        </w:rPr>
        <w:t>Section 501(c)(3)</w:t>
      </w:r>
      <w:r w:rsidRPr="00951A3C">
        <w:rPr>
          <w:rFonts w:ascii="Century Schoolbook" w:hAnsi="Century Schoolbook"/>
          <w:sz w:val="24"/>
          <w:szCs w:val="24"/>
        </w:rPr>
        <w:t xml:space="preserve">. My Trustees shall pay the balance of such </w:t>
      </w:r>
      <w:r w:rsidR="00C55AEC">
        <w:rPr>
          <w:rFonts w:ascii="Century Schoolbook" w:hAnsi="Century Schoolbook"/>
          <w:sz w:val="24"/>
          <w:szCs w:val="24"/>
        </w:rPr>
        <w:t>distribution</w:t>
      </w:r>
      <w:r w:rsidRPr="00951A3C">
        <w:rPr>
          <w:rFonts w:ascii="Century Schoolbook" w:hAnsi="Century Schoolbook"/>
          <w:sz w:val="24"/>
          <w:szCs w:val="24"/>
        </w:rPr>
        <w:t xml:space="preserve">, or all of such </w:t>
      </w:r>
      <w:r w:rsidR="00C55AEC">
        <w:rPr>
          <w:rFonts w:ascii="Century Schoolbook" w:hAnsi="Century Schoolbook"/>
          <w:sz w:val="24"/>
          <w:szCs w:val="24"/>
        </w:rPr>
        <w:t xml:space="preserve">distribution </w:t>
      </w:r>
      <w:r w:rsidRPr="00951A3C">
        <w:rPr>
          <w:rFonts w:ascii="Century Schoolbook" w:hAnsi="Century Schoolbook"/>
          <w:sz w:val="24"/>
          <w:szCs w:val="24"/>
        </w:rPr>
        <w:t xml:space="preserve">if </w:t>
      </w:r>
      <w:r w:rsidR="00B954D2">
        <w:rPr>
          <w:rFonts w:ascii="Century Schoolbook" w:hAnsi="Century Schoolbook"/>
          <w:sz w:val="24"/>
          <w:szCs w:val="24"/>
        </w:rPr>
        <w:t xml:space="preserve">all of the Directed Beneficiaries </w:t>
      </w:r>
      <w:r w:rsidR="000F0C13" w:rsidRPr="00951A3C">
        <w:rPr>
          <w:rFonts w:ascii="Century Schoolbook" w:hAnsi="Century Schoolbook"/>
          <w:sz w:val="24"/>
          <w:szCs w:val="24"/>
        </w:rPr>
        <w:t xml:space="preserve">fail to qualify </w:t>
      </w:r>
      <w:r w:rsidR="00B25FAF">
        <w:rPr>
          <w:rFonts w:ascii="Century Schoolbook" w:hAnsi="Century Schoolbook"/>
          <w:sz w:val="24"/>
          <w:szCs w:val="24"/>
        </w:rPr>
        <w:t>as</w:t>
      </w:r>
      <w:r w:rsidR="00B25FAF" w:rsidRPr="00951A3C">
        <w:rPr>
          <w:rFonts w:ascii="Century Schoolbook" w:hAnsi="Century Schoolbook"/>
          <w:sz w:val="24"/>
          <w:szCs w:val="24"/>
        </w:rPr>
        <w:t xml:space="preserve"> </w:t>
      </w:r>
      <w:r w:rsidRPr="00951A3C">
        <w:rPr>
          <w:rFonts w:ascii="Century Schoolbook" w:hAnsi="Century Schoolbook"/>
          <w:sz w:val="24"/>
          <w:szCs w:val="24"/>
        </w:rPr>
        <w:t>exempt from income tax</w:t>
      </w:r>
      <w:r w:rsidR="000F0C13" w:rsidRPr="00951A3C">
        <w:rPr>
          <w:rFonts w:ascii="Century Schoolbook" w:hAnsi="Century Schoolbook"/>
          <w:sz w:val="24"/>
          <w:szCs w:val="24"/>
        </w:rPr>
        <w:t xml:space="preserve"> under Section 501</w:t>
      </w:r>
      <w:r w:rsidR="00E33F2B">
        <w:rPr>
          <w:rFonts w:ascii="Century Schoolbook" w:hAnsi="Century Schoolbook"/>
          <w:sz w:val="24"/>
          <w:szCs w:val="24"/>
        </w:rPr>
        <w:t>(c)(3)</w:t>
      </w:r>
      <w:r w:rsidR="00EB7872">
        <w:rPr>
          <w:rFonts w:ascii="Century Schoolbook" w:hAnsi="Century Schoolbook"/>
          <w:sz w:val="24"/>
          <w:szCs w:val="24"/>
        </w:rPr>
        <w:t>,</w:t>
      </w:r>
      <w:r w:rsidR="000F0C13" w:rsidRPr="00951A3C">
        <w:rPr>
          <w:rFonts w:ascii="Century Schoolbook" w:hAnsi="Century Schoolbook"/>
          <w:sz w:val="24"/>
          <w:szCs w:val="24"/>
        </w:rPr>
        <w:t xml:space="preserve"> </w:t>
      </w:r>
      <w:r w:rsidRPr="00951A3C">
        <w:rPr>
          <w:rFonts w:ascii="Century Schoolbook" w:hAnsi="Century Schoolbook"/>
          <w:sz w:val="24"/>
          <w:szCs w:val="24"/>
        </w:rPr>
        <w:t xml:space="preserve">for such religious, charitable, scientific, literary, or educational purposes as my Trustees may from time to time select. It is my intention that the </w:t>
      </w:r>
      <w:r w:rsidR="00C55AEC">
        <w:rPr>
          <w:rFonts w:ascii="Century Schoolbook" w:hAnsi="Century Schoolbook"/>
          <w:sz w:val="24"/>
          <w:szCs w:val="24"/>
        </w:rPr>
        <w:t xml:space="preserve">distribution </w:t>
      </w:r>
      <w:r w:rsidRPr="00951A3C">
        <w:rPr>
          <w:rFonts w:ascii="Century Schoolbook" w:hAnsi="Century Schoolbook"/>
          <w:sz w:val="24"/>
          <w:szCs w:val="24"/>
        </w:rPr>
        <w:t xml:space="preserve">shall be paid to recipients which are authorized by law to receive the </w:t>
      </w:r>
      <w:r w:rsidR="00C55AEC">
        <w:rPr>
          <w:rFonts w:ascii="Century Schoolbook" w:hAnsi="Century Schoolbook"/>
          <w:sz w:val="24"/>
          <w:szCs w:val="24"/>
        </w:rPr>
        <w:t xml:space="preserve">distribution </w:t>
      </w:r>
      <w:r w:rsidRPr="00951A3C">
        <w:rPr>
          <w:rFonts w:ascii="Century Schoolbook" w:hAnsi="Century Schoolbook"/>
          <w:sz w:val="24"/>
          <w:szCs w:val="24"/>
        </w:rPr>
        <w:t>free of income tax, and my Trustees shall handle and administer this trust in accordance with the requirements of the law for such purposes.</w:t>
      </w:r>
    </w:p>
    <w:p w:rsidR="00344C50" w:rsidRPr="00344C50" w:rsidRDefault="00344C50" w:rsidP="00344C50">
      <w:pPr>
        <w:ind w:left="720" w:right="720"/>
        <w:jc w:val="both"/>
        <w:rPr>
          <w:rFonts w:ascii="Century Schoolbook" w:hAnsi="Century Schoolbook"/>
          <w:sz w:val="24"/>
          <w:szCs w:val="24"/>
        </w:rPr>
      </w:pPr>
    </w:p>
    <w:p w:rsidR="00344C50" w:rsidRDefault="000C4105" w:rsidP="000C4105">
      <w:pPr>
        <w:ind w:left="720" w:right="720" w:firstLine="720"/>
        <w:jc w:val="both"/>
        <w:rPr>
          <w:rFonts w:ascii="Century Schoolbook" w:hAnsi="Century Schoolbook"/>
          <w:sz w:val="24"/>
          <w:szCs w:val="24"/>
        </w:rPr>
      </w:pPr>
      <w:r>
        <w:rPr>
          <w:rFonts w:ascii="Century Schoolbook" w:hAnsi="Century Schoolbook"/>
          <w:sz w:val="24"/>
          <w:szCs w:val="24"/>
        </w:rPr>
        <w:t>T</w:t>
      </w:r>
      <w:r w:rsidR="00097306">
        <w:rPr>
          <w:rFonts w:ascii="Century Schoolbook" w:hAnsi="Century Schoolbook"/>
          <w:sz w:val="24"/>
          <w:szCs w:val="24"/>
        </w:rPr>
        <w:t xml:space="preserve">he Trustees shall comply with N.C. Gen. Stat. § </w:t>
      </w:r>
      <w:r w:rsidR="00097306" w:rsidRPr="00097306">
        <w:rPr>
          <w:rFonts w:ascii="Century Schoolbook" w:hAnsi="Century Schoolbook"/>
          <w:sz w:val="24"/>
          <w:szCs w:val="24"/>
        </w:rPr>
        <w:t>36C-4A-</w:t>
      </w:r>
      <w:r w:rsidR="00097306">
        <w:rPr>
          <w:rFonts w:ascii="Century Schoolbook" w:hAnsi="Century Schoolbook"/>
          <w:sz w:val="24"/>
          <w:szCs w:val="24"/>
        </w:rPr>
        <w:t>1</w:t>
      </w:r>
      <w:r>
        <w:rPr>
          <w:rFonts w:ascii="Century Schoolbook" w:hAnsi="Century Schoolbook"/>
          <w:sz w:val="24"/>
          <w:szCs w:val="24"/>
        </w:rPr>
        <w:t xml:space="preserve"> </w:t>
      </w:r>
      <w:r w:rsidR="00E13A3C">
        <w:rPr>
          <w:rFonts w:ascii="Century Schoolbook" w:hAnsi="Century Schoolbook"/>
          <w:sz w:val="24"/>
          <w:szCs w:val="24"/>
        </w:rPr>
        <w:t xml:space="preserve">and IRC § 4942 </w:t>
      </w:r>
      <w:r>
        <w:rPr>
          <w:rFonts w:ascii="Century Schoolbook" w:hAnsi="Century Schoolbook"/>
          <w:sz w:val="24"/>
          <w:szCs w:val="24"/>
        </w:rPr>
        <w:t>in making all such distributions.</w:t>
      </w:r>
    </w:p>
    <w:p w:rsidR="00055CE4" w:rsidRDefault="00055CE4" w:rsidP="000C4105">
      <w:pPr>
        <w:ind w:left="720" w:right="720" w:firstLine="720"/>
        <w:jc w:val="both"/>
        <w:rPr>
          <w:rFonts w:ascii="Century Schoolbook" w:hAnsi="Century Schoolbook"/>
          <w:sz w:val="24"/>
          <w:szCs w:val="24"/>
        </w:rPr>
      </w:pPr>
    </w:p>
    <w:p w:rsidR="000851EC" w:rsidRDefault="000851EC" w:rsidP="000851EC">
      <w:pPr>
        <w:spacing w:line="480" w:lineRule="auto"/>
        <w:ind w:firstLine="720"/>
        <w:jc w:val="both"/>
        <w:rPr>
          <w:rFonts w:ascii="Century Schoolbook" w:hAnsi="Century Schoolbook"/>
          <w:sz w:val="24"/>
          <w:szCs w:val="24"/>
        </w:rPr>
      </w:pPr>
      <w:r>
        <w:rPr>
          <w:rFonts w:ascii="Century Schoolbook" w:hAnsi="Century Schoolbook"/>
          <w:sz w:val="24"/>
          <w:szCs w:val="24"/>
        </w:rPr>
        <w:t>6.</w:t>
      </w:r>
      <w:r>
        <w:rPr>
          <w:rFonts w:ascii="Century Schoolbook" w:hAnsi="Century Schoolbook"/>
          <w:sz w:val="24"/>
          <w:szCs w:val="24"/>
        </w:rPr>
        <w:tab/>
        <w:t>The relief requested in the Joint Motion is consistent with and appropriate under N.C. Gen. Stat. §</w:t>
      </w:r>
      <w:r w:rsidR="00356BDB">
        <w:rPr>
          <w:rFonts w:ascii="Century Schoolbook" w:hAnsi="Century Schoolbook"/>
          <w:sz w:val="24"/>
          <w:szCs w:val="24"/>
        </w:rPr>
        <w:t>§</w:t>
      </w:r>
      <w:r>
        <w:rPr>
          <w:rFonts w:ascii="Century Schoolbook" w:hAnsi="Century Schoolbook"/>
          <w:sz w:val="24"/>
          <w:szCs w:val="24"/>
        </w:rPr>
        <w:t xml:space="preserve"> 36C-4-41</w:t>
      </w:r>
      <w:r w:rsidR="00356BDB">
        <w:rPr>
          <w:rFonts w:ascii="Century Schoolbook" w:hAnsi="Century Schoolbook"/>
          <w:sz w:val="24"/>
          <w:szCs w:val="24"/>
        </w:rPr>
        <w:t>2 &amp; 36C-4-41</w:t>
      </w:r>
      <w:r w:rsidR="0034650C">
        <w:rPr>
          <w:rFonts w:ascii="Century Schoolbook" w:hAnsi="Century Schoolbook"/>
          <w:sz w:val="24"/>
          <w:szCs w:val="24"/>
        </w:rPr>
        <w:t>3</w:t>
      </w:r>
      <w:r>
        <w:rPr>
          <w:rFonts w:ascii="Century Schoolbook" w:hAnsi="Century Schoolbook"/>
          <w:sz w:val="24"/>
          <w:szCs w:val="24"/>
        </w:rPr>
        <w:t>.</w:t>
      </w:r>
    </w:p>
    <w:p w:rsidR="00EB2035" w:rsidRDefault="00EB2035" w:rsidP="00EB2035">
      <w:pPr>
        <w:spacing w:line="480" w:lineRule="auto"/>
        <w:jc w:val="both"/>
        <w:rPr>
          <w:rFonts w:ascii="Century Schoolbook" w:hAnsi="Century Schoolbook"/>
          <w:sz w:val="24"/>
          <w:szCs w:val="24"/>
        </w:rPr>
      </w:pPr>
      <w:r w:rsidRPr="002F0EB8">
        <w:rPr>
          <w:rFonts w:ascii="Century Schoolbook" w:hAnsi="Century Schoolbook"/>
          <w:sz w:val="24"/>
          <w:szCs w:val="24"/>
        </w:rPr>
        <w:tab/>
      </w:r>
      <w:r w:rsidR="003C0786">
        <w:rPr>
          <w:rFonts w:ascii="Century Schoolbook" w:hAnsi="Century Schoolbook"/>
          <w:sz w:val="24"/>
          <w:szCs w:val="24"/>
        </w:rPr>
        <w:t>Now, therefore, f</w:t>
      </w:r>
      <w:r w:rsidRPr="002F0EB8">
        <w:rPr>
          <w:rFonts w:ascii="Century Schoolbook" w:hAnsi="Century Schoolbook"/>
          <w:sz w:val="24"/>
          <w:szCs w:val="24"/>
        </w:rPr>
        <w:t xml:space="preserve">inding good cause for the parties’ Joint Motion, the Court </w:t>
      </w:r>
      <w:r w:rsidRPr="002F0EB8">
        <w:rPr>
          <w:rFonts w:ascii="Century Schoolbook" w:hAnsi="Century Schoolbook"/>
          <w:b/>
          <w:sz w:val="24"/>
          <w:szCs w:val="24"/>
        </w:rPr>
        <w:t>GRANTS</w:t>
      </w:r>
      <w:r w:rsidRPr="002F0EB8">
        <w:rPr>
          <w:rFonts w:ascii="Century Schoolbook" w:hAnsi="Century Schoolbook"/>
          <w:sz w:val="24"/>
          <w:szCs w:val="24"/>
        </w:rPr>
        <w:t xml:space="preserve"> the motion </w:t>
      </w:r>
      <w:r w:rsidR="003C0786">
        <w:rPr>
          <w:rFonts w:ascii="Century Schoolbook" w:hAnsi="Century Schoolbook"/>
          <w:sz w:val="24"/>
          <w:szCs w:val="24"/>
        </w:rPr>
        <w:t>and enters final judgment in this action as follows</w:t>
      </w:r>
      <w:r>
        <w:rPr>
          <w:rFonts w:ascii="Century Schoolbook" w:hAnsi="Century Schoolbook"/>
          <w:sz w:val="24"/>
          <w:szCs w:val="24"/>
        </w:rPr>
        <w:t>:</w:t>
      </w:r>
    </w:p>
    <w:p w:rsidR="00EB2035" w:rsidRDefault="008A1C32" w:rsidP="00EB2035">
      <w:pPr>
        <w:pStyle w:val="ListParagraph"/>
        <w:numPr>
          <w:ilvl w:val="0"/>
          <w:numId w:val="1"/>
        </w:numPr>
        <w:spacing w:line="480" w:lineRule="auto"/>
        <w:ind w:left="0" w:firstLine="720"/>
        <w:jc w:val="both"/>
        <w:rPr>
          <w:rFonts w:ascii="Century Schoolbook" w:hAnsi="Century Schoolbook"/>
          <w:sz w:val="24"/>
          <w:szCs w:val="24"/>
        </w:rPr>
      </w:pPr>
      <w:r>
        <w:rPr>
          <w:rFonts w:ascii="Century Schoolbook" w:hAnsi="Century Schoolbook"/>
          <w:sz w:val="24"/>
          <w:szCs w:val="24"/>
        </w:rPr>
        <w:t>Item</w:t>
      </w:r>
      <w:r w:rsidR="00314243">
        <w:rPr>
          <w:rFonts w:ascii="Century Schoolbook" w:hAnsi="Century Schoolbook"/>
          <w:sz w:val="24"/>
          <w:szCs w:val="24"/>
        </w:rPr>
        <w:t>s</w:t>
      </w:r>
      <w:r>
        <w:rPr>
          <w:rFonts w:ascii="Century Schoolbook" w:hAnsi="Century Schoolbook"/>
          <w:sz w:val="24"/>
          <w:szCs w:val="24"/>
        </w:rPr>
        <w:t xml:space="preserve"> VII </w:t>
      </w:r>
      <w:r w:rsidR="00314243">
        <w:rPr>
          <w:rFonts w:ascii="Century Schoolbook" w:hAnsi="Century Schoolbook"/>
          <w:sz w:val="24"/>
          <w:szCs w:val="24"/>
        </w:rPr>
        <w:t xml:space="preserve">and VIII </w:t>
      </w:r>
      <w:r>
        <w:rPr>
          <w:rFonts w:ascii="Century Schoolbook" w:hAnsi="Century Schoolbook"/>
          <w:sz w:val="24"/>
          <w:szCs w:val="24"/>
        </w:rPr>
        <w:t xml:space="preserve">of the Will of Ms. Cannon is hereby </w:t>
      </w:r>
      <w:r w:rsidR="005725F8">
        <w:rPr>
          <w:rFonts w:ascii="Century Schoolbook" w:hAnsi="Century Schoolbook"/>
          <w:sz w:val="24"/>
          <w:szCs w:val="24"/>
        </w:rPr>
        <w:t>modified</w:t>
      </w:r>
      <w:r>
        <w:rPr>
          <w:rFonts w:ascii="Century Schoolbook" w:hAnsi="Century Schoolbook"/>
          <w:sz w:val="24"/>
          <w:szCs w:val="24"/>
        </w:rPr>
        <w:t xml:space="preserve"> as set forth in paragraph 5 above.</w:t>
      </w:r>
    </w:p>
    <w:p w:rsidR="00EB2035" w:rsidRDefault="00EB2035" w:rsidP="00EB2035">
      <w:pPr>
        <w:pStyle w:val="ListParagraph"/>
        <w:numPr>
          <w:ilvl w:val="0"/>
          <w:numId w:val="1"/>
        </w:numPr>
        <w:spacing w:line="480" w:lineRule="auto"/>
        <w:ind w:left="0" w:firstLine="720"/>
        <w:jc w:val="both"/>
        <w:rPr>
          <w:rFonts w:ascii="Century Schoolbook" w:hAnsi="Century Schoolbook"/>
          <w:sz w:val="24"/>
          <w:szCs w:val="24"/>
        </w:rPr>
      </w:pPr>
      <w:r>
        <w:rPr>
          <w:rFonts w:ascii="Century Schoolbook" w:hAnsi="Century Schoolbook"/>
          <w:sz w:val="24"/>
          <w:szCs w:val="24"/>
        </w:rPr>
        <w:t>All</w:t>
      </w:r>
      <w:r w:rsidR="003C0786">
        <w:rPr>
          <w:rFonts w:ascii="Century Schoolbook" w:hAnsi="Century Schoolbook"/>
          <w:sz w:val="24"/>
          <w:szCs w:val="24"/>
        </w:rPr>
        <w:t xml:space="preserve"> claims and counterclaims asserted in this action are hereby dismi</w:t>
      </w:r>
      <w:r w:rsidR="008A1C32">
        <w:rPr>
          <w:rFonts w:ascii="Century Schoolbook" w:hAnsi="Century Schoolbook"/>
          <w:sz w:val="24"/>
          <w:szCs w:val="24"/>
        </w:rPr>
        <w:t>s</w:t>
      </w:r>
      <w:r w:rsidR="003C0786">
        <w:rPr>
          <w:rFonts w:ascii="Century Schoolbook" w:hAnsi="Century Schoolbook"/>
          <w:sz w:val="24"/>
          <w:szCs w:val="24"/>
        </w:rPr>
        <w:t>sed</w:t>
      </w:r>
      <w:r w:rsidR="00E877C6">
        <w:rPr>
          <w:rFonts w:ascii="Century Schoolbook" w:hAnsi="Century Schoolbook"/>
          <w:sz w:val="24"/>
          <w:szCs w:val="24"/>
        </w:rPr>
        <w:t xml:space="preserve"> with prejudice, with no award of costs or fees to any party.</w:t>
      </w:r>
      <w:r>
        <w:rPr>
          <w:rFonts w:ascii="Century Schoolbook" w:hAnsi="Century Schoolbook"/>
          <w:sz w:val="24"/>
          <w:szCs w:val="24"/>
        </w:rPr>
        <w:t xml:space="preserve"> </w:t>
      </w:r>
    </w:p>
    <w:p w:rsidR="00997A45" w:rsidRPr="00997A45" w:rsidRDefault="00997A45" w:rsidP="00AC32E1">
      <w:pPr>
        <w:spacing w:after="200" w:line="480" w:lineRule="auto"/>
        <w:rPr>
          <w:rFonts w:ascii="Century Schoolbook" w:eastAsiaTheme="minorHAnsi" w:hAnsi="Century Schoolbook" w:cstheme="minorBidi"/>
          <w:sz w:val="24"/>
          <w:szCs w:val="24"/>
        </w:rPr>
      </w:pPr>
      <w:r w:rsidRPr="00997A45">
        <w:rPr>
          <w:rFonts w:ascii="Century Schoolbook" w:eastAsiaTheme="minorHAnsi" w:hAnsi="Century Schoolbook" w:cstheme="minorBidi"/>
          <w:sz w:val="24"/>
          <w:szCs w:val="24"/>
        </w:rPr>
        <w:tab/>
        <w:t>This the ____ day of</w:t>
      </w:r>
      <w:r w:rsidR="00FB33E0">
        <w:rPr>
          <w:rFonts w:ascii="Century Schoolbook" w:eastAsiaTheme="minorHAnsi" w:hAnsi="Century Schoolbook" w:cstheme="minorBidi"/>
          <w:sz w:val="24"/>
          <w:szCs w:val="24"/>
        </w:rPr>
        <w:t xml:space="preserve"> </w:t>
      </w:r>
      <w:r w:rsidR="003C0786">
        <w:rPr>
          <w:rFonts w:ascii="Century Schoolbook" w:eastAsiaTheme="minorHAnsi" w:hAnsi="Century Schoolbook" w:cstheme="minorBidi"/>
          <w:sz w:val="24"/>
          <w:szCs w:val="24"/>
        </w:rPr>
        <w:t>June</w:t>
      </w:r>
      <w:r w:rsidR="00FB33E0">
        <w:rPr>
          <w:rFonts w:ascii="Century Schoolbook" w:eastAsiaTheme="minorHAnsi" w:hAnsi="Century Schoolbook" w:cstheme="minorBidi"/>
          <w:sz w:val="24"/>
          <w:szCs w:val="24"/>
        </w:rPr>
        <w:t>, 2</w:t>
      </w:r>
      <w:r w:rsidRPr="00997A45">
        <w:rPr>
          <w:rFonts w:ascii="Century Schoolbook" w:eastAsiaTheme="minorHAnsi" w:hAnsi="Century Schoolbook" w:cstheme="minorBidi"/>
          <w:sz w:val="24"/>
          <w:szCs w:val="24"/>
        </w:rPr>
        <w:t xml:space="preserve">024. </w:t>
      </w:r>
    </w:p>
    <w:p w:rsidR="00997A45" w:rsidRPr="00997A45" w:rsidRDefault="00997A45" w:rsidP="00997A45">
      <w:pPr>
        <w:rPr>
          <w:rFonts w:ascii="Century Schoolbook" w:eastAsiaTheme="minorHAnsi" w:hAnsi="Century Schoolbook" w:cstheme="minorBidi"/>
          <w:sz w:val="24"/>
          <w:szCs w:val="24"/>
          <w:u w:val="single"/>
        </w:rPr>
      </w:pPr>
      <w:r w:rsidRPr="00997A45">
        <w:rPr>
          <w:rFonts w:ascii="Century Schoolbook" w:eastAsiaTheme="minorHAnsi" w:hAnsi="Century Schoolbook" w:cstheme="minorBidi"/>
          <w:sz w:val="24"/>
          <w:szCs w:val="24"/>
        </w:rPr>
        <w:tab/>
      </w:r>
      <w:r w:rsidRPr="00997A45">
        <w:rPr>
          <w:rFonts w:ascii="Century Schoolbook" w:eastAsiaTheme="minorHAnsi" w:hAnsi="Century Schoolbook" w:cstheme="minorBidi"/>
          <w:sz w:val="24"/>
          <w:szCs w:val="24"/>
        </w:rPr>
        <w:tab/>
      </w:r>
      <w:r w:rsidRPr="00997A45">
        <w:rPr>
          <w:rFonts w:ascii="Century Schoolbook" w:eastAsiaTheme="minorHAnsi" w:hAnsi="Century Schoolbook" w:cstheme="minorBidi"/>
          <w:sz w:val="24"/>
          <w:szCs w:val="24"/>
        </w:rPr>
        <w:tab/>
      </w:r>
      <w:r w:rsidRPr="00997A45">
        <w:rPr>
          <w:rFonts w:ascii="Century Schoolbook" w:eastAsiaTheme="minorHAnsi" w:hAnsi="Century Schoolbook" w:cstheme="minorBidi"/>
          <w:sz w:val="24"/>
          <w:szCs w:val="24"/>
        </w:rPr>
        <w:tab/>
      </w:r>
      <w:r w:rsidRPr="00997A45">
        <w:rPr>
          <w:rFonts w:ascii="Century Schoolbook" w:eastAsiaTheme="minorHAnsi" w:hAnsi="Century Schoolbook" w:cstheme="minorBidi"/>
          <w:sz w:val="24"/>
          <w:szCs w:val="24"/>
        </w:rPr>
        <w:tab/>
      </w:r>
      <w:r w:rsidRPr="00997A45">
        <w:rPr>
          <w:rFonts w:ascii="Century Schoolbook" w:eastAsiaTheme="minorHAnsi" w:hAnsi="Century Schoolbook" w:cstheme="minorBidi"/>
          <w:sz w:val="24"/>
          <w:szCs w:val="24"/>
        </w:rPr>
        <w:tab/>
      </w:r>
      <w:r w:rsidRPr="00997A45">
        <w:rPr>
          <w:rFonts w:ascii="Century Schoolbook" w:eastAsiaTheme="minorHAnsi" w:hAnsi="Century Schoolbook" w:cstheme="minorBidi"/>
          <w:sz w:val="24"/>
          <w:szCs w:val="24"/>
          <w:u w:val="single"/>
        </w:rPr>
        <w:tab/>
      </w:r>
      <w:r w:rsidRPr="00997A45">
        <w:rPr>
          <w:rFonts w:ascii="Century Schoolbook" w:eastAsiaTheme="minorHAnsi" w:hAnsi="Century Schoolbook" w:cstheme="minorBidi"/>
          <w:sz w:val="24"/>
          <w:szCs w:val="24"/>
          <w:u w:val="single"/>
        </w:rPr>
        <w:tab/>
      </w:r>
      <w:r w:rsidRPr="00997A45">
        <w:rPr>
          <w:rFonts w:ascii="Century Schoolbook" w:eastAsiaTheme="minorHAnsi" w:hAnsi="Century Schoolbook" w:cstheme="minorBidi"/>
          <w:sz w:val="24"/>
          <w:szCs w:val="24"/>
          <w:u w:val="single"/>
        </w:rPr>
        <w:tab/>
      </w:r>
      <w:r w:rsidRPr="00997A45">
        <w:rPr>
          <w:rFonts w:ascii="Century Schoolbook" w:eastAsiaTheme="minorHAnsi" w:hAnsi="Century Schoolbook" w:cstheme="minorBidi"/>
          <w:sz w:val="24"/>
          <w:szCs w:val="24"/>
          <w:u w:val="single"/>
        </w:rPr>
        <w:tab/>
      </w:r>
      <w:r w:rsidRPr="00997A45">
        <w:rPr>
          <w:rFonts w:ascii="Century Schoolbook" w:eastAsiaTheme="minorHAnsi" w:hAnsi="Century Schoolbook" w:cstheme="minorBidi"/>
          <w:sz w:val="24"/>
          <w:szCs w:val="24"/>
          <w:u w:val="single"/>
        </w:rPr>
        <w:tab/>
      </w:r>
      <w:r w:rsidRPr="00997A45">
        <w:rPr>
          <w:rFonts w:ascii="Century Schoolbook" w:eastAsiaTheme="minorHAnsi" w:hAnsi="Century Schoolbook" w:cstheme="minorBidi"/>
          <w:sz w:val="24"/>
          <w:szCs w:val="24"/>
          <w:u w:val="single"/>
        </w:rPr>
        <w:tab/>
      </w:r>
      <w:r w:rsidRPr="00997A45">
        <w:rPr>
          <w:rFonts w:ascii="Century Schoolbook" w:eastAsiaTheme="minorHAnsi" w:hAnsi="Century Schoolbook" w:cstheme="minorBidi"/>
          <w:sz w:val="24"/>
          <w:szCs w:val="24"/>
          <w:u w:val="single"/>
        </w:rPr>
        <w:tab/>
      </w:r>
    </w:p>
    <w:p w:rsidR="00855C26" w:rsidRPr="002F0EB8" w:rsidRDefault="00997A45" w:rsidP="00997A45">
      <w:pPr>
        <w:ind w:left="4320"/>
        <w:rPr>
          <w:rFonts w:ascii="Century Schoolbook" w:eastAsiaTheme="minorHAnsi" w:hAnsi="Century Schoolbook" w:cstheme="minorBidi"/>
          <w:sz w:val="24"/>
          <w:szCs w:val="24"/>
        </w:rPr>
      </w:pPr>
      <w:r w:rsidRPr="00997A45">
        <w:rPr>
          <w:rFonts w:ascii="Century Schoolbook" w:eastAsiaTheme="minorHAnsi" w:hAnsi="Century Schoolbook" w:cstheme="minorBidi"/>
          <w:sz w:val="24"/>
          <w:szCs w:val="24"/>
        </w:rPr>
        <w:t>The Honorable Judge Michael L. Robinson Special Superior Court Judge for Complex Business Cases</w:t>
      </w:r>
    </w:p>
    <w:sectPr w:rsidR="00855C26" w:rsidRPr="002F0EB8" w:rsidSect="00855C26">
      <w:footerReference w:type="even"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B4F" w:rsidRDefault="00780B4F" w:rsidP="00855C26">
      <w:r>
        <w:separator/>
      </w:r>
    </w:p>
  </w:endnote>
  <w:endnote w:type="continuationSeparator" w:id="0">
    <w:p w:rsidR="00780B4F" w:rsidRDefault="00780B4F" w:rsidP="0085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iDocIDField84e0ffc3-3a28-42c6-a538-6dd2"/>
  <w:p w:rsidR="00A3012E" w:rsidRDefault="00A3012E">
    <w:pPr>
      <w:pStyle w:val="DocID"/>
    </w:pPr>
    <w:r>
      <w:fldChar w:fldCharType="begin"/>
    </w:r>
    <w:r>
      <w:instrText xml:space="preserve">  DOCPROPERTY "CUS_DocIDChunk0" </w:instrText>
    </w:r>
    <w:r>
      <w:fldChar w:fldCharType="separate"/>
    </w:r>
    <w:r>
      <w:rPr>
        <w:noProof/>
      </w:rPr>
      <w:t>4857-2886-4964.v8</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12E" w:rsidRDefault="00780B4F" w:rsidP="00E85F9B">
    <w:pPr>
      <w:pStyle w:val="Footer"/>
      <w:jc w:val="center"/>
      <w:rPr>
        <w:noProof/>
      </w:rPr>
    </w:pPr>
    <w:sdt>
      <w:sdtPr>
        <w:id w:val="1214010405"/>
        <w:docPartObj>
          <w:docPartGallery w:val="Page Numbers (Bottom of Page)"/>
          <w:docPartUnique/>
        </w:docPartObj>
      </w:sdtPr>
      <w:sdtEndPr>
        <w:rPr>
          <w:noProof/>
        </w:rPr>
      </w:sdtEndPr>
      <w:sdtContent>
        <w:r w:rsidR="00A3012E" w:rsidRPr="00855C26">
          <w:rPr>
            <w:sz w:val="24"/>
            <w:szCs w:val="24"/>
          </w:rPr>
          <w:fldChar w:fldCharType="begin"/>
        </w:r>
        <w:r w:rsidR="00A3012E" w:rsidRPr="00855C26">
          <w:rPr>
            <w:sz w:val="24"/>
            <w:szCs w:val="24"/>
          </w:rPr>
          <w:instrText xml:space="preserve"> PAGE   \* MERGEFORMAT </w:instrText>
        </w:r>
        <w:r w:rsidR="00A3012E" w:rsidRPr="00855C26">
          <w:rPr>
            <w:sz w:val="24"/>
            <w:szCs w:val="24"/>
          </w:rPr>
          <w:fldChar w:fldCharType="separate"/>
        </w:r>
        <w:r w:rsidR="00153BF8">
          <w:rPr>
            <w:noProof/>
            <w:sz w:val="24"/>
            <w:szCs w:val="24"/>
          </w:rPr>
          <w:t>2</w:t>
        </w:r>
        <w:r w:rsidR="00A3012E" w:rsidRPr="00855C26">
          <w:rPr>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F8" w:rsidRDefault="00153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B4F" w:rsidRDefault="00780B4F" w:rsidP="00855C26">
      <w:r>
        <w:separator/>
      </w:r>
    </w:p>
  </w:footnote>
  <w:footnote w:type="continuationSeparator" w:id="0">
    <w:p w:rsidR="00780B4F" w:rsidRDefault="00780B4F" w:rsidP="00855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146AC"/>
    <w:multiLevelType w:val="hybridMultilevel"/>
    <w:tmpl w:val="3D901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mSEGsValidated" w:val="1"/>
    <w:docVar w:name="zzmpCompatibilityMode" w:val="15"/>
  </w:docVars>
  <w:rsids>
    <w:rsidRoot w:val="00855C26"/>
    <w:rsid w:val="00035401"/>
    <w:rsid w:val="00040AD3"/>
    <w:rsid w:val="00055CE4"/>
    <w:rsid w:val="000851EC"/>
    <w:rsid w:val="000860B4"/>
    <w:rsid w:val="00091D3F"/>
    <w:rsid w:val="00095BEB"/>
    <w:rsid w:val="00097306"/>
    <w:rsid w:val="000A6DD0"/>
    <w:rsid w:val="000B2652"/>
    <w:rsid w:val="000B7A8E"/>
    <w:rsid w:val="000C4105"/>
    <w:rsid w:val="000F0C13"/>
    <w:rsid w:val="000F266A"/>
    <w:rsid w:val="00153BF8"/>
    <w:rsid w:val="001C0EA0"/>
    <w:rsid w:val="001D5D55"/>
    <w:rsid w:val="001E54CF"/>
    <w:rsid w:val="00201A4F"/>
    <w:rsid w:val="00211E27"/>
    <w:rsid w:val="00236057"/>
    <w:rsid w:val="00272C6C"/>
    <w:rsid w:val="002A0489"/>
    <w:rsid w:val="002A122B"/>
    <w:rsid w:val="002B7EDB"/>
    <w:rsid w:val="002C02EF"/>
    <w:rsid w:val="002E1B5D"/>
    <w:rsid w:val="002E6D51"/>
    <w:rsid w:val="002F0EB8"/>
    <w:rsid w:val="002F2CE8"/>
    <w:rsid w:val="00314243"/>
    <w:rsid w:val="0031594F"/>
    <w:rsid w:val="00344C50"/>
    <w:rsid w:val="0034650C"/>
    <w:rsid w:val="00356BDB"/>
    <w:rsid w:val="00383946"/>
    <w:rsid w:val="00390262"/>
    <w:rsid w:val="0039306D"/>
    <w:rsid w:val="00396E95"/>
    <w:rsid w:val="003B2AD5"/>
    <w:rsid w:val="003C0786"/>
    <w:rsid w:val="003C5F01"/>
    <w:rsid w:val="003E4456"/>
    <w:rsid w:val="003E74CE"/>
    <w:rsid w:val="00410756"/>
    <w:rsid w:val="00415E10"/>
    <w:rsid w:val="004178FC"/>
    <w:rsid w:val="00423D9C"/>
    <w:rsid w:val="00452922"/>
    <w:rsid w:val="0045354F"/>
    <w:rsid w:val="004E36E0"/>
    <w:rsid w:val="00564FEB"/>
    <w:rsid w:val="005725F8"/>
    <w:rsid w:val="005801F0"/>
    <w:rsid w:val="00582835"/>
    <w:rsid w:val="005911A6"/>
    <w:rsid w:val="005927F5"/>
    <w:rsid w:val="005C185A"/>
    <w:rsid w:val="00664166"/>
    <w:rsid w:val="00685D61"/>
    <w:rsid w:val="006B6B45"/>
    <w:rsid w:val="006D0F91"/>
    <w:rsid w:val="006D117F"/>
    <w:rsid w:val="006D2A5E"/>
    <w:rsid w:val="006E08E3"/>
    <w:rsid w:val="00714D2D"/>
    <w:rsid w:val="00730F18"/>
    <w:rsid w:val="00780B4F"/>
    <w:rsid w:val="007A1A71"/>
    <w:rsid w:val="007E0FFC"/>
    <w:rsid w:val="00855C26"/>
    <w:rsid w:val="008A1C32"/>
    <w:rsid w:val="008C23EF"/>
    <w:rsid w:val="008F728A"/>
    <w:rsid w:val="0094448D"/>
    <w:rsid w:val="00951064"/>
    <w:rsid w:val="00951A3C"/>
    <w:rsid w:val="00957200"/>
    <w:rsid w:val="00964B30"/>
    <w:rsid w:val="00982905"/>
    <w:rsid w:val="00997A45"/>
    <w:rsid w:val="009C59B5"/>
    <w:rsid w:val="00A0427F"/>
    <w:rsid w:val="00A12368"/>
    <w:rsid w:val="00A3012E"/>
    <w:rsid w:val="00A32698"/>
    <w:rsid w:val="00A67DDB"/>
    <w:rsid w:val="00A81130"/>
    <w:rsid w:val="00A83401"/>
    <w:rsid w:val="00AB3E7A"/>
    <w:rsid w:val="00AC32E1"/>
    <w:rsid w:val="00AD4070"/>
    <w:rsid w:val="00B0628F"/>
    <w:rsid w:val="00B13AC4"/>
    <w:rsid w:val="00B25FAF"/>
    <w:rsid w:val="00B835B8"/>
    <w:rsid w:val="00B85084"/>
    <w:rsid w:val="00B954D2"/>
    <w:rsid w:val="00C034D4"/>
    <w:rsid w:val="00C0353D"/>
    <w:rsid w:val="00C06F32"/>
    <w:rsid w:val="00C52EBF"/>
    <w:rsid w:val="00C55AEC"/>
    <w:rsid w:val="00CA6AB0"/>
    <w:rsid w:val="00CF6E3D"/>
    <w:rsid w:val="00D05B3A"/>
    <w:rsid w:val="00D22829"/>
    <w:rsid w:val="00D435E5"/>
    <w:rsid w:val="00D52B7C"/>
    <w:rsid w:val="00D67381"/>
    <w:rsid w:val="00DD0EDE"/>
    <w:rsid w:val="00DD2BCE"/>
    <w:rsid w:val="00E03B7A"/>
    <w:rsid w:val="00E13A3C"/>
    <w:rsid w:val="00E33F2B"/>
    <w:rsid w:val="00E374D7"/>
    <w:rsid w:val="00E4526F"/>
    <w:rsid w:val="00E877C6"/>
    <w:rsid w:val="00EB2035"/>
    <w:rsid w:val="00EB7872"/>
    <w:rsid w:val="00ED3863"/>
    <w:rsid w:val="00EE2EC5"/>
    <w:rsid w:val="00EE3871"/>
    <w:rsid w:val="00F01CF5"/>
    <w:rsid w:val="00FB33E0"/>
    <w:rsid w:val="00FE366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FF44BC-25F2-4356-8E4D-15597161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5C26"/>
    <w:rPr>
      <w:rFonts w:eastAsia="PMingLiU"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C26"/>
    <w:pPr>
      <w:tabs>
        <w:tab w:val="center" w:pos="4680"/>
        <w:tab w:val="right" w:pos="9360"/>
      </w:tabs>
    </w:pPr>
  </w:style>
  <w:style w:type="character" w:customStyle="1" w:styleId="HeaderChar">
    <w:name w:val="Header Char"/>
    <w:basedOn w:val="DefaultParagraphFont"/>
    <w:link w:val="Header"/>
    <w:uiPriority w:val="99"/>
    <w:rsid w:val="00855C26"/>
    <w:rPr>
      <w:rFonts w:eastAsia="PMingLiU" w:cs="Times New Roman"/>
      <w:sz w:val="22"/>
    </w:rPr>
  </w:style>
  <w:style w:type="paragraph" w:styleId="Footer">
    <w:name w:val="footer"/>
    <w:basedOn w:val="Normal"/>
    <w:link w:val="FooterChar"/>
    <w:uiPriority w:val="99"/>
    <w:unhideWhenUsed/>
    <w:rsid w:val="00855C26"/>
    <w:pPr>
      <w:tabs>
        <w:tab w:val="center" w:pos="4680"/>
        <w:tab w:val="right" w:pos="9360"/>
      </w:tabs>
    </w:pPr>
  </w:style>
  <w:style w:type="character" w:customStyle="1" w:styleId="FooterChar">
    <w:name w:val="Footer Char"/>
    <w:basedOn w:val="DefaultParagraphFont"/>
    <w:link w:val="Footer"/>
    <w:uiPriority w:val="99"/>
    <w:rsid w:val="00855C26"/>
    <w:rPr>
      <w:rFonts w:eastAsia="PMingLiU" w:cs="Times New Roman"/>
      <w:sz w:val="22"/>
    </w:rPr>
  </w:style>
  <w:style w:type="table" w:customStyle="1" w:styleId="TableGrid11">
    <w:name w:val="Table Grid11"/>
    <w:basedOn w:val="TableNormal"/>
    <w:next w:val="TableGrid"/>
    <w:uiPriority w:val="39"/>
    <w:rsid w:val="00997A45"/>
    <w:rPr>
      <w:rFonts w:eastAsia="PMingLiU"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7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Footer"/>
    <w:next w:val="Footer"/>
    <w:link w:val="DocIDChar"/>
    <w:rsid w:val="000B7A8E"/>
    <w:pPr>
      <w:tabs>
        <w:tab w:val="clear" w:pos="4680"/>
        <w:tab w:val="clear" w:pos="9360"/>
      </w:tabs>
    </w:pPr>
    <w:rPr>
      <w:rFonts w:eastAsia="Times New Roman"/>
      <w:sz w:val="16"/>
      <w:szCs w:val="20"/>
    </w:rPr>
  </w:style>
  <w:style w:type="character" w:customStyle="1" w:styleId="DocIDChar">
    <w:name w:val="DocID Char"/>
    <w:basedOn w:val="DefaultParagraphFont"/>
    <w:link w:val="DocID"/>
    <w:rsid w:val="000B7A8E"/>
    <w:rPr>
      <w:rFonts w:eastAsia="Times New Roman" w:cs="Times New Roman"/>
      <w:sz w:val="16"/>
      <w:szCs w:val="20"/>
      <w:lang w:val="en-US" w:eastAsia="en-US"/>
    </w:rPr>
  </w:style>
  <w:style w:type="paragraph" w:styleId="ListParagraph">
    <w:name w:val="List Paragraph"/>
    <w:basedOn w:val="Normal"/>
    <w:uiPriority w:val="34"/>
    <w:qFormat/>
    <w:rsid w:val="00EB2035"/>
    <w:pPr>
      <w:ind w:left="720"/>
      <w:contextualSpacing/>
    </w:pPr>
  </w:style>
  <w:style w:type="paragraph" w:customStyle="1" w:styleId="MacPacTrailer">
    <w:name w:val="MacPac Trailer"/>
    <w:rsid w:val="000860B4"/>
    <w:pPr>
      <w:widowControl w:val="0"/>
      <w:spacing w:line="200" w:lineRule="exact"/>
    </w:pPr>
    <w:rPr>
      <w:rFonts w:eastAsia="Times New Roman" w:cs="Times New Roman"/>
      <w:sz w:val="16"/>
    </w:rPr>
  </w:style>
  <w:style w:type="character" w:styleId="PlaceholderText">
    <w:name w:val="Placeholder Text"/>
    <w:basedOn w:val="DefaultParagraphFont"/>
    <w:uiPriority w:val="99"/>
    <w:semiHidden/>
    <w:rsid w:val="002E1B5D"/>
    <w:rPr>
      <w:color w:val="808080"/>
    </w:rPr>
  </w:style>
  <w:style w:type="paragraph" w:styleId="BalloonText">
    <w:name w:val="Balloon Text"/>
    <w:basedOn w:val="Normal"/>
    <w:link w:val="BalloonTextChar"/>
    <w:uiPriority w:val="99"/>
    <w:semiHidden/>
    <w:unhideWhenUsed/>
    <w:rsid w:val="003E7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4CE"/>
    <w:rPr>
      <w:rFonts w:ascii="Segoe UI" w:eastAsia="PMingLiU" w:hAnsi="Segoe UI" w:cs="Segoe UI"/>
      <w:sz w:val="18"/>
      <w:szCs w:val="18"/>
    </w:rPr>
  </w:style>
  <w:style w:type="character" w:styleId="CommentReference">
    <w:name w:val="annotation reference"/>
    <w:basedOn w:val="DefaultParagraphFont"/>
    <w:uiPriority w:val="99"/>
    <w:semiHidden/>
    <w:unhideWhenUsed/>
    <w:rsid w:val="00D05B3A"/>
    <w:rPr>
      <w:sz w:val="16"/>
      <w:szCs w:val="16"/>
    </w:rPr>
  </w:style>
  <w:style w:type="paragraph" w:styleId="CommentText">
    <w:name w:val="annotation text"/>
    <w:basedOn w:val="Normal"/>
    <w:link w:val="CommentTextChar"/>
    <w:uiPriority w:val="99"/>
    <w:semiHidden/>
    <w:unhideWhenUsed/>
    <w:rsid w:val="00D05B3A"/>
    <w:rPr>
      <w:sz w:val="20"/>
      <w:szCs w:val="20"/>
    </w:rPr>
  </w:style>
  <w:style w:type="character" w:customStyle="1" w:styleId="CommentTextChar">
    <w:name w:val="Comment Text Char"/>
    <w:basedOn w:val="DefaultParagraphFont"/>
    <w:link w:val="CommentText"/>
    <w:uiPriority w:val="99"/>
    <w:semiHidden/>
    <w:rsid w:val="00D05B3A"/>
    <w:rPr>
      <w:rFonts w:eastAsia="PMingLiU" w:cs="Times New Roman"/>
      <w:sz w:val="20"/>
      <w:szCs w:val="20"/>
    </w:rPr>
  </w:style>
  <w:style w:type="paragraph" w:styleId="CommentSubject">
    <w:name w:val="annotation subject"/>
    <w:basedOn w:val="CommentText"/>
    <w:next w:val="CommentText"/>
    <w:link w:val="CommentSubjectChar"/>
    <w:uiPriority w:val="99"/>
    <w:semiHidden/>
    <w:unhideWhenUsed/>
    <w:rsid w:val="00D05B3A"/>
    <w:rPr>
      <w:b/>
      <w:bCs/>
    </w:rPr>
  </w:style>
  <w:style w:type="character" w:customStyle="1" w:styleId="CommentSubjectChar">
    <w:name w:val="Comment Subject Char"/>
    <w:basedOn w:val="CommentTextChar"/>
    <w:link w:val="CommentSubject"/>
    <w:uiPriority w:val="99"/>
    <w:semiHidden/>
    <w:rsid w:val="00D05B3A"/>
    <w:rPr>
      <w:rFonts w:eastAsia="PMingLiU"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1101</Words>
  <Characters>5505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Robinson, Bradshaw &amp; Hinson, P.A.</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1900-01-01T05:00:00Z</cp:lastPrinted>
  <dcterms:created xsi:type="dcterms:W3CDTF">1900-01-01T05:00:00Z</dcterms:created>
  <dcterms:modified xsi:type="dcterms:W3CDTF">1900-01-01T05:00:00Z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4857-2886-4964.v8</vt:lpwstr>
  </property>
  <property fmtid="{D5CDD505-2E9C-101B-9397-08002B2CF9AE}" pid="3" name="CUS_DocIDChunk0">
    <vt:lpwstr>4857-2886-4964.v8</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ies>
</file>